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200780D9" w14:textId="20E295F6" w:rsidR="00CD56D6" w:rsidRPr="00D90E75" w:rsidRDefault="00CD56D6" w:rsidP="00AF3A3B">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F3A3B" w:rsidRPr="00D90E75">
        <w:rPr>
          <w:rFonts w:ascii="Times New Roman" w:eastAsia="Times New Roman" w:hAnsi="Times New Roman" w:cs="Times New Roman"/>
          <w:iCs/>
        </w:rPr>
        <w:t>Sayed Bin Harun 24131097</w:t>
      </w:r>
    </w:p>
    <w:p w14:paraId="77DCA98B" w14:textId="5A5CF48B" w:rsidR="00D90E75" w:rsidRDefault="00D90E75" w:rsidP="00AF3A3B">
      <w:pPr>
        <w:rPr>
          <w:rFonts w:ascii="Times New Roman" w:eastAsia="Times New Roman" w:hAnsi="Times New Roman" w:cs="Times New Roman"/>
          <w:iCs/>
        </w:rPr>
      </w:pPr>
      <w:r w:rsidRPr="00D90E75">
        <w:rPr>
          <w:rFonts w:ascii="Times New Roman" w:eastAsia="Times New Roman" w:hAnsi="Times New Roman" w:cs="Times New Roman"/>
          <w:iCs/>
        </w:rPr>
        <w:t xml:space="preserve">                     Mahmood Parvez 24153575</w:t>
      </w:r>
    </w:p>
    <w:p w14:paraId="410F5055" w14:textId="5C4578E0" w:rsidR="004A6168" w:rsidRPr="00D90E75" w:rsidRDefault="004A6168" w:rsidP="00AF3A3B">
      <w:pPr>
        <w:rPr>
          <w:rFonts w:ascii="Times New Roman" w:eastAsia="Times New Roman" w:hAnsi="Times New Roman" w:cs="Times New Roman"/>
          <w:iCs/>
        </w:rPr>
      </w:pPr>
      <w:r>
        <w:rPr>
          <w:rFonts w:ascii="Times New Roman" w:eastAsia="Times New Roman" w:hAnsi="Times New Roman" w:cs="Times New Roman"/>
          <w:iCs/>
        </w:rPr>
        <w:t xml:space="preserve">                     Abir Al </w:t>
      </w:r>
      <w:proofErr w:type="gramStart"/>
      <w:r>
        <w:rPr>
          <w:rFonts w:ascii="Times New Roman" w:eastAsia="Times New Roman" w:hAnsi="Times New Roman" w:cs="Times New Roman"/>
          <w:iCs/>
        </w:rPr>
        <w:t>Mahmud  24154288</w:t>
      </w:r>
      <w:proofErr w:type="gramEnd"/>
    </w:p>
    <w:p w14:paraId="1DDDCCFA" w14:textId="1CE5FFD1" w:rsidR="00AF3A3B" w:rsidRPr="00AF3A3B" w:rsidRDefault="00AF3A3B" w:rsidP="00AF3A3B">
      <w:pPr>
        <w:rPr>
          <w:rFonts w:ascii="Times New Roman" w:eastAsia="Times New Roman" w:hAnsi="Times New Roman" w:cs="Times New Roman"/>
          <w:iCs/>
          <w:highlight w:val="yellow"/>
        </w:rPr>
      </w:pPr>
      <w:r>
        <w:rPr>
          <w:rFonts w:ascii="Times New Roman" w:eastAsia="Times New Roman" w:hAnsi="Times New Roman" w:cs="Times New Roman"/>
          <w:iCs/>
          <w:highlight w:val="yellow"/>
        </w:rPr>
        <w:t xml:space="preserve">              </w:t>
      </w:r>
      <w:r w:rsidR="004A6168">
        <w:rPr>
          <w:rFonts w:ascii="Times New Roman" w:eastAsia="Times New Roman" w:hAnsi="Times New Roman" w:cs="Times New Roman"/>
          <w:iCs/>
          <w:highlight w:val="yellow"/>
        </w:rPr>
        <w:t xml:space="preserve">    </w:t>
      </w:r>
      <w:r>
        <w:rPr>
          <w:rFonts w:ascii="Times New Roman" w:eastAsia="Times New Roman" w:hAnsi="Times New Roman" w:cs="Times New Roman"/>
          <w:iCs/>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967410F" w14:textId="77777777" w:rsidR="00AF3A3B" w:rsidRDefault="00AF3A3B">
      <w:pPr>
        <w:rPr>
          <w:rFonts w:ascii="Times New Roman" w:eastAsia="Times New Roman" w:hAnsi="Times New Roman" w:cs="Times New Roman"/>
        </w:rPr>
      </w:pPr>
    </w:p>
    <w:p w14:paraId="570BC111" w14:textId="77777777" w:rsidR="00AF3A3B" w:rsidRDefault="00AF3A3B">
      <w:pPr>
        <w:rPr>
          <w:rFonts w:ascii="Times New Roman" w:eastAsia="Times New Roman" w:hAnsi="Times New Roman" w:cs="Times New Roman"/>
        </w:rPr>
      </w:pPr>
    </w:p>
    <w:p w14:paraId="3D8F617B" w14:textId="77777777" w:rsidR="00AF3A3B" w:rsidRDefault="00AF3A3B">
      <w:pPr>
        <w:rPr>
          <w:rFonts w:ascii="Times New Roman" w:eastAsia="Times New Roman" w:hAnsi="Times New Roman" w:cs="Times New Roman"/>
        </w:rPr>
      </w:pPr>
    </w:p>
    <w:p w14:paraId="26395B91" w14:textId="77777777" w:rsidR="00AF3A3B" w:rsidRDefault="00AF3A3B">
      <w:pPr>
        <w:rPr>
          <w:rFonts w:ascii="Times New Roman" w:eastAsia="Times New Roman" w:hAnsi="Times New Roman" w:cs="Times New Roman"/>
        </w:rPr>
      </w:pPr>
    </w:p>
    <w:p w14:paraId="5381CE71" w14:textId="77777777" w:rsidR="00AF3A3B" w:rsidRDefault="00AF3A3B">
      <w:pPr>
        <w:rPr>
          <w:rFonts w:ascii="Times New Roman" w:eastAsia="Times New Roman" w:hAnsi="Times New Roman" w:cs="Times New Roman"/>
        </w:rPr>
      </w:pPr>
    </w:p>
    <w:p w14:paraId="7A9FD7B7" w14:textId="77777777" w:rsidR="00AF3A3B" w:rsidRDefault="00AF3A3B">
      <w:pPr>
        <w:rPr>
          <w:rFonts w:ascii="Times New Roman" w:eastAsia="Times New Roman" w:hAnsi="Times New Roman" w:cs="Times New Roman"/>
        </w:rPr>
      </w:pPr>
    </w:p>
    <w:p w14:paraId="2CD6A25A" w14:textId="77777777" w:rsidR="00AF3A3B" w:rsidRDefault="00AF3A3B">
      <w:pPr>
        <w:rPr>
          <w:rFonts w:ascii="Times New Roman" w:eastAsia="Times New Roman" w:hAnsi="Times New Roman" w:cs="Times New Roman"/>
        </w:rPr>
      </w:pPr>
    </w:p>
    <w:p w14:paraId="62DDFD3A" w14:textId="77777777" w:rsidR="00AF3A3B" w:rsidRDefault="00AF3A3B">
      <w:pPr>
        <w:rPr>
          <w:rFonts w:ascii="Times New Roman" w:eastAsia="Times New Roman" w:hAnsi="Times New Roman" w:cs="Times New Roman"/>
        </w:rPr>
      </w:pPr>
    </w:p>
    <w:p w14:paraId="6E034740" w14:textId="77777777" w:rsidR="00AF3A3B" w:rsidRDefault="00AF3A3B">
      <w:pPr>
        <w:rPr>
          <w:rFonts w:ascii="Times New Roman" w:eastAsia="Times New Roman" w:hAnsi="Times New Roman" w:cs="Times New Roman"/>
        </w:rPr>
      </w:pPr>
    </w:p>
    <w:p w14:paraId="0FE3631A" w14:textId="77777777" w:rsidR="00AF3A3B" w:rsidRDefault="00AF3A3B">
      <w:pPr>
        <w:rPr>
          <w:rFonts w:ascii="Times New Roman" w:eastAsia="Times New Roman" w:hAnsi="Times New Roman" w:cs="Times New Roman"/>
        </w:rPr>
      </w:pPr>
    </w:p>
    <w:p w14:paraId="1C2DD081" w14:textId="77777777" w:rsidR="00AF3A3B" w:rsidRDefault="00AF3A3B">
      <w:pPr>
        <w:rPr>
          <w:rFonts w:ascii="Times New Roman" w:eastAsia="Times New Roman" w:hAnsi="Times New Roman" w:cs="Times New Roman"/>
        </w:rPr>
      </w:pPr>
    </w:p>
    <w:p w14:paraId="5D77451B" w14:textId="77777777" w:rsidR="00AF3A3B" w:rsidRDefault="00AF3A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A5A7F6" w14:textId="3F6CD4EF" w:rsidR="4ABDCFE3" w:rsidRPr="00AF3A3B" w:rsidRDefault="50E41D14" w:rsidP="00AF3A3B">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r w:rsidR="4ABDCFE3">
        <w:br w:type="page"/>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589ECC7C" w14:textId="146EA574" w:rsidR="00C329D2" w:rsidRPr="00C329D2" w:rsidRDefault="00C329D2" w:rsidP="00C329D2">
      <w:pPr>
        <w:pStyle w:val="ListParagraph"/>
        <w:ind w:hanging="720"/>
        <w:jc w:val="both"/>
        <w:rPr>
          <w:rFonts w:ascii="Times New Roman" w:eastAsia="Times New Roman" w:hAnsi="Times New Roman" w:cs="Times New Roman"/>
        </w:rPr>
      </w:pPr>
      <w:r>
        <w:rPr>
          <w:rFonts w:ascii="Times New Roman" w:eastAsia="Times New Roman" w:hAnsi="Times New Roman" w:cs="Times New Roman"/>
        </w:rPr>
        <w:t xml:space="preserve">            </w:t>
      </w:r>
    </w:p>
    <w:p w14:paraId="36B64A27" w14:textId="580EA5C0" w:rsidR="4ABDCFE3" w:rsidRPr="00C329D2" w:rsidRDefault="4ABDCFE3" w:rsidP="4ABDCFE3">
      <w:pPr>
        <w:pStyle w:val="ListParagraph"/>
        <w:ind w:left="1440" w:hanging="720"/>
        <w:rPr>
          <w:rFonts w:ascii="Times New Roman" w:eastAsia="Times New Roman" w:hAnsi="Times New Roman" w:cs="Times New Roman"/>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E6189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3CB78C4" w14:textId="77777777" w:rsidR="00E6189E" w:rsidRPr="00E6189E" w:rsidRDefault="00E6189E" w:rsidP="00E6189E">
      <w:pPr>
        <w:ind w:left="349"/>
        <w:rPr>
          <w:rFonts w:ascii="Times New Roman" w:eastAsia="Times New Roman" w:hAnsi="Times New Roman" w:cs="Times New Roman"/>
        </w:rPr>
      </w:pPr>
    </w:p>
    <w:p w14:paraId="044BBC5B" w14:textId="77777777" w:rsidR="00E6189E" w:rsidRPr="00E6189E" w:rsidRDefault="00E6189E" w:rsidP="00E6189E">
      <w:pPr>
        <w:pStyle w:val="ListParagraph"/>
        <w:jc w:val="both"/>
        <w:rPr>
          <w:rFonts w:ascii="Times New Roman" w:eastAsia="Times New Roman" w:hAnsi="Times New Roman" w:cs="Times New Roman"/>
          <w:kern w:val="0"/>
          <w:lang w:val="en-US"/>
          <w14:ligatures w14:val="none"/>
        </w:rPr>
      </w:pPr>
      <w:r w:rsidRPr="00E6189E">
        <w:rPr>
          <w:rFonts w:ascii="Times New Roman" w:eastAsia="Times New Roman" w:hAnsi="Times New Roman" w:cs="Times New Roman"/>
          <w:kern w:val="0"/>
          <w:lang w:val="en-US"/>
          <w14:ligatures w14:val="none"/>
        </w:rPr>
        <w:t>The COVID-19 pandemic posed a challenge to public health systems across the globe, and testing and positivity rates emerged as important markers of the severity of the outbreak and the efficacy of the response. Like many other places, Ohio had significant differences in testing procedures and illness waves in 2020, 2021, and 2022. Determining if the average daily positivity rate varied considerably between years can provide important information about how the pandemic changed over time, the effects of measures like immunization efforts, and the efficacy of testing tactics. In order to provide information that could guide future public health planning and resource allocation, this study aims to ascertain if these annual differences are statistically significant.</w:t>
      </w:r>
    </w:p>
    <w:p w14:paraId="44B22C9C" w14:textId="77777777" w:rsidR="00E6189E" w:rsidRDefault="00E6189E" w:rsidP="00E6189E">
      <w:pPr>
        <w:pStyle w:val="ListParagraph"/>
        <w:ind w:left="1069"/>
        <w:rPr>
          <w:rFonts w:ascii="Times New Roman" w:eastAsia="Times New Roman" w:hAnsi="Times New Roman" w:cs="Times New Roman"/>
        </w:rPr>
      </w:pP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42FEBE5" w14:textId="50107F96" w:rsidR="5D5E0517" w:rsidRDefault="5D5E0517" w:rsidP="00AF3A3B">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A6168"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E6366F4" w14:textId="78EB81B1" w:rsidR="004A6168" w:rsidRDefault="004A6168" w:rsidP="004A6168">
      <w:pPr>
        <w:rPr>
          <w:rFonts w:ascii="Times New Roman" w:eastAsia="Times New Roman" w:hAnsi="Times New Roman" w:cs="Times New Roman"/>
        </w:rPr>
      </w:pPr>
      <w:r>
        <w:rPr>
          <w:rFonts w:ascii="Times New Roman" w:eastAsia="Times New Roman" w:hAnsi="Times New Roman" w:cs="Times New Roman"/>
        </w:rPr>
        <w:t xml:space="preserve">       </w:t>
      </w:r>
    </w:p>
    <w:p w14:paraId="062D80FA" w14:textId="77777777" w:rsidR="004A6168" w:rsidRPr="00941309" w:rsidRDefault="004A6168" w:rsidP="004A6168">
      <w:r>
        <w:rPr>
          <w:rFonts w:ascii="Times New Roman" w:eastAsia="Times New Roman" w:hAnsi="Times New Roman" w:cs="Times New Roman"/>
        </w:rPr>
        <w:t xml:space="preserve">      </w:t>
      </w:r>
      <w:r w:rsidRPr="00941309">
        <w:t>1. CDC (2022) – COVID-19 Testing Overview</w:t>
      </w:r>
    </w:p>
    <w:p w14:paraId="1AB9ACEC" w14:textId="77777777" w:rsidR="004A6168" w:rsidRPr="00941309" w:rsidRDefault="004A6168" w:rsidP="004A6168">
      <w:r w:rsidRPr="00941309">
        <w:t xml:space="preserve">The overview on COVID-19 testing by </w:t>
      </w:r>
      <w:r>
        <w:t xml:space="preserve">the </w:t>
      </w:r>
      <w:r w:rsidRPr="00941309">
        <w:t>CDC shows the role of accurate and regular testing to monitor the spread of the virus. Their results indicate that the rates of positivity are essential to the interpretations of the effectiveness of testing and control measures in different regions.</w:t>
      </w:r>
    </w:p>
    <w:p w14:paraId="602B92C1" w14:textId="77777777" w:rsidR="004A6168" w:rsidRPr="00941309" w:rsidRDefault="004A6168" w:rsidP="004A6168">
      <w:pPr>
        <w:pStyle w:val="ListParagraph"/>
        <w:numPr>
          <w:ilvl w:val="0"/>
          <w:numId w:val="35"/>
        </w:numPr>
        <w:spacing w:after="160" w:line="278" w:lineRule="auto"/>
      </w:pPr>
      <w:r w:rsidRPr="00941309">
        <w:t>Relevance: This directly answers the question of the research study as it gives a framework of how the rate of positivity in Ohio per day, as measured by the data, may be used to indicate testing performance and the transmission trends of the community.</w:t>
      </w:r>
    </w:p>
    <w:p w14:paraId="02A9D8B9" w14:textId="77777777" w:rsidR="004A6168" w:rsidRPr="00941309" w:rsidRDefault="004A6168" w:rsidP="004A6168">
      <w:r w:rsidRPr="00941309">
        <w:t>2. Sullivan and Lopez (2021) – The Impact of Testing Strategies on the Analysis of Trends in COVID-19 Positivity Rates.</w:t>
      </w:r>
    </w:p>
    <w:p w14:paraId="48EBE62E" w14:textId="77777777" w:rsidR="004A6168" w:rsidRPr="00941309" w:rsidRDefault="004A6168" w:rsidP="004A6168">
      <w:r w:rsidRPr="00941309">
        <w:t xml:space="preserve">Sullivan and Lopez (2021) examine the variability </w:t>
      </w:r>
      <w:r>
        <w:t>in</w:t>
      </w:r>
      <w:r w:rsidRPr="00941309">
        <w:t xml:space="preserve"> COVID-19 positivity and the effects on the test strategies of these variabilities. In their analysis, the importance of </w:t>
      </w:r>
      <w:r>
        <w:t>using</w:t>
      </w:r>
      <w:r w:rsidRPr="00941309">
        <w:t xml:space="preserve"> both confirmatory and presumptive tests in the analysis of community transmission is highlighted.</w:t>
      </w:r>
    </w:p>
    <w:p w14:paraId="1CEA5CAA" w14:textId="77777777" w:rsidR="004A6168" w:rsidRPr="00941309" w:rsidRDefault="004A6168" w:rsidP="004A6168">
      <w:pPr>
        <w:pStyle w:val="ListParagraph"/>
        <w:numPr>
          <w:ilvl w:val="0"/>
          <w:numId w:val="35"/>
        </w:numPr>
        <w:spacing w:after="160" w:line="278" w:lineRule="auto"/>
      </w:pPr>
      <w:r>
        <w:lastRenderedPageBreak/>
        <w:t>Relevance</w:t>
      </w:r>
      <w:r w:rsidRPr="00941309">
        <w:t xml:space="preserve">: The study is extremely relevant to your work since it specifically focuses on the combined lab data reflecting the prevalence of infections and efficiency of community measures in the whole, which will correspond to your research </w:t>
      </w:r>
      <w:r>
        <w:t>on</w:t>
      </w:r>
      <w:r w:rsidRPr="00941309">
        <w:t xml:space="preserve"> the trends of testing in Ohio.</w:t>
      </w:r>
    </w:p>
    <w:p w14:paraId="63854931" w14:textId="65F1AA17" w:rsidR="004A6168" w:rsidRPr="004A6168" w:rsidRDefault="004A6168" w:rsidP="004A6168">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456ED25D" w14:textId="77777777" w:rsidR="004A6168" w:rsidRDefault="004A6168" w:rsidP="004A6168">
      <w:pPr>
        <w:ind w:left="349"/>
        <w:rPr>
          <w:rFonts w:ascii="Times New Roman" w:eastAsia="Times New Roman" w:hAnsi="Times New Roman" w:cs="Times New Roman"/>
        </w:rPr>
      </w:pPr>
    </w:p>
    <w:p w14:paraId="0BDCF472" w14:textId="77777777" w:rsidR="004A6168" w:rsidRPr="00941309" w:rsidRDefault="004A6168" w:rsidP="004A6168">
      <w:r w:rsidRPr="00941309">
        <w:t xml:space="preserve">The fact that the literature review focuses on the importance of positivity rates in the context of transmission dynamics, but there is little research specifically examining the statistical significance of day-to-day trends in confirmatory and presumptive testing outcomes of a specific time frame, makes the research question significant. The literature, such as Sullivan and Lopez (2021) on </w:t>
      </w:r>
      <w:r>
        <w:t xml:space="preserve">the </w:t>
      </w:r>
      <w:r w:rsidRPr="00941309">
        <w:t xml:space="preserve">testing plan, Miller et al. (2020) on the temporal pattern, and identifying the specific effect of time on the combination </w:t>
      </w:r>
      <w:r>
        <w:t xml:space="preserve">of </w:t>
      </w:r>
      <w:r w:rsidRPr="00941309">
        <w:t>lab positivity rates in Ohio is underrepresented. This research will help bridge this gap by statistically testing whether there are significant changes in the trends of positivity over time, which can be useful in future plans of countering the pandemic.</w:t>
      </w:r>
    </w:p>
    <w:p w14:paraId="26149155" w14:textId="77777777" w:rsidR="004A6168" w:rsidRPr="004A6168" w:rsidRDefault="004A6168" w:rsidP="004A6168">
      <w:pPr>
        <w:ind w:left="349"/>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AF3A3B" w:rsidRDefault="00CD56D6" w:rsidP="7FBAA7B2">
      <w:pPr>
        <w:pStyle w:val="ListParagraph"/>
        <w:numPr>
          <w:ilvl w:val="0"/>
          <w:numId w:val="32"/>
        </w:numPr>
        <w:rPr>
          <w:rFonts w:ascii="Times New Roman" w:eastAsia="Times New Roman" w:hAnsi="Times New Roman" w:cs="Times New Roman"/>
          <w:b/>
          <w:bCs/>
        </w:rPr>
      </w:pPr>
      <w:r w:rsidRPr="00AF3A3B">
        <w:rPr>
          <w:rFonts w:ascii="Times New Roman" w:eastAsia="Times New Roman" w:hAnsi="Times New Roman" w:cs="Times New Roman"/>
          <w:b/>
          <w:bCs/>
        </w:rPr>
        <w:t>Visualisation</w:t>
      </w:r>
    </w:p>
    <w:p w14:paraId="7DD3BE85" w14:textId="24325279" w:rsidR="009279F0" w:rsidRPr="00AF3A3B" w:rsidRDefault="5D5E0517" w:rsidP="7FBAA7B2">
      <w:pPr>
        <w:pStyle w:val="ListParagraph"/>
        <w:numPr>
          <w:ilvl w:val="1"/>
          <w:numId w:val="32"/>
        </w:numPr>
        <w:ind w:hanging="720"/>
        <w:rPr>
          <w:rFonts w:ascii="Times New Roman" w:eastAsia="Times New Roman" w:hAnsi="Times New Roman" w:cs="Times New Roman"/>
          <w:b/>
          <w:bCs/>
        </w:rPr>
      </w:pPr>
      <w:r w:rsidRPr="00AF3A3B">
        <w:rPr>
          <w:rFonts w:ascii="Times New Roman" w:eastAsia="Times New Roman" w:hAnsi="Times New Roman" w:cs="Times New Roman"/>
          <w:b/>
          <w:bCs/>
        </w:rPr>
        <w:t xml:space="preserve">Appropriate </w:t>
      </w:r>
      <w:r w:rsidR="00CF2D90" w:rsidRPr="00AF3A3B">
        <w:rPr>
          <w:rFonts w:ascii="Times New Roman" w:eastAsia="Times New Roman" w:hAnsi="Times New Roman" w:cs="Times New Roman"/>
          <w:b/>
          <w:bCs/>
        </w:rPr>
        <w:t>graphs</w:t>
      </w:r>
      <w:r w:rsidRPr="00AF3A3B">
        <w:rPr>
          <w:rFonts w:ascii="Times New Roman" w:eastAsia="Times New Roman" w:hAnsi="Times New Roman" w:cs="Times New Roman"/>
          <w:b/>
          <w:bCs/>
        </w:rPr>
        <w:t xml:space="preserve"> for the RQ output of an R script (NOT a screenshot)</w:t>
      </w:r>
      <w:r w:rsidR="28EE4D89" w:rsidRPr="00AF3A3B">
        <w:rPr>
          <w:rFonts w:ascii="Times New Roman" w:eastAsia="Times New Roman" w:hAnsi="Times New Roman" w:cs="Times New Roman"/>
          <w:b/>
          <w:bCs/>
          <w:i/>
          <w:iCs/>
        </w:rPr>
        <w:t xml:space="preserve"> </w:t>
      </w:r>
      <w:r w:rsidR="28EE4D89" w:rsidRPr="00AF3A3B">
        <w:rPr>
          <w:rFonts w:ascii="Times New Roman" w:eastAsia="Times New Roman" w:hAnsi="Times New Roman" w:cs="Times New Roman"/>
          <w:b/>
          <w:bCs/>
        </w:rPr>
        <w:t>(50 words)</w:t>
      </w:r>
      <w:r w:rsidR="000F7A9B" w:rsidRPr="00AF3A3B">
        <w:rPr>
          <w:rFonts w:ascii="Times New Roman" w:eastAsia="Times New Roman" w:hAnsi="Times New Roman" w:cs="Times New Roman"/>
          <w:b/>
          <w:bCs/>
        </w:rPr>
        <w:t xml:space="preserve"> </w:t>
      </w:r>
    </w:p>
    <w:p w14:paraId="621E2F72" w14:textId="77777777" w:rsidR="00AF3A3B" w:rsidRDefault="00AF3A3B" w:rsidP="00AF3A3B">
      <w:pPr>
        <w:rPr>
          <w:rFonts w:ascii="Times New Roman" w:eastAsia="Times New Roman" w:hAnsi="Times New Roman" w:cs="Times New Roman"/>
        </w:rPr>
      </w:pPr>
    </w:p>
    <w:p w14:paraId="298CA2F2" w14:textId="77777777" w:rsidR="00AF3A3B" w:rsidRP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Choice of the plot</w:t>
      </w:r>
    </w:p>
    <w:p w14:paraId="70F8A24D" w14:textId="77777777" w:rsidR="00AF3A3B" w:rsidRDefault="00AF3A3B" w:rsidP="00AF3A3B">
      <w:pPr>
        <w:rPr>
          <w:rFonts w:ascii="Times New Roman" w:eastAsia="Times New Roman" w:hAnsi="Times New Roman" w:cs="Times New Roman"/>
        </w:rPr>
      </w:pPr>
    </w:p>
    <w:p w14:paraId="30ED914C" w14:textId="77777777" w:rsidR="00AF3A3B" w:rsidRP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research question focuses on whether the mean daily COVID-19 positivity rate differs across years. A boxplot is the most appropriate choice because it effectively compares the distribution of a continuous variable (percent positive) across categorical groups (years). It highlights central tendency, spread, and outliers, which are essential for assessing differences in mean positivity between 2020, 2021, and 2022.</w:t>
      </w:r>
    </w:p>
    <w:p w14:paraId="19E91AEB" w14:textId="77777777" w:rsidR="00AF3A3B" w:rsidRDefault="00AF3A3B" w:rsidP="00AF3A3B">
      <w:pPr>
        <w:rPr>
          <w:rFonts w:ascii="Times New Roman" w:eastAsia="Times New Roman" w:hAnsi="Times New Roman" w:cs="Times New Roman"/>
        </w:rPr>
      </w:pPr>
    </w:p>
    <w:p w14:paraId="65E2E031" w14:textId="42D4FA1A" w:rsidR="00AF3A3B" w:rsidRDefault="00AF3A3B"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3308820" wp14:editId="6B61C3EF">
            <wp:extent cx="5731510" cy="3002280"/>
            <wp:effectExtent l="0" t="0" r="2540" b="7620"/>
            <wp:docPr id="1729454960" name="Picture 1" descr="graph of a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54960" name="Picture 1" descr="graph of a bar char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002280"/>
                    </a:xfrm>
                    <a:prstGeom prst="rect">
                      <a:avLst/>
                    </a:prstGeom>
                  </pic:spPr>
                </pic:pic>
              </a:graphicData>
            </a:graphic>
          </wp:inline>
        </w:drawing>
      </w:r>
    </w:p>
    <w:p w14:paraId="28572EEF" w14:textId="4178060A" w:rsidR="00AF3A3B" w:rsidRDefault="00AF3A3B" w:rsidP="00AF3A3B">
      <w:pPr>
        <w:rPr>
          <w:rFonts w:ascii="Times New Roman" w:eastAsia="Times New Roman" w:hAnsi="Times New Roman" w:cs="Times New Roman"/>
          <w:b/>
          <w:bCs/>
          <w:lang w:val="en-IN"/>
        </w:rPr>
      </w:pPr>
      <w:r w:rsidRPr="00AF3A3B">
        <w:rPr>
          <w:rFonts w:ascii="Times New Roman" w:eastAsia="Times New Roman" w:hAnsi="Times New Roman" w:cs="Times New Roman"/>
          <w:b/>
          <w:bCs/>
          <w:lang w:val="en-IN"/>
        </w:rPr>
        <w:t>Main plot relevant to the RQ</w:t>
      </w:r>
    </w:p>
    <w:p w14:paraId="1CDB59BD" w14:textId="77777777" w:rsidR="00AF3A3B" w:rsidRDefault="00AF3A3B" w:rsidP="00AF3A3B">
      <w:pPr>
        <w:rPr>
          <w:rFonts w:ascii="Times New Roman" w:eastAsia="Times New Roman" w:hAnsi="Times New Roman" w:cs="Times New Roman"/>
          <w:b/>
          <w:bCs/>
          <w:lang w:val="en-IN"/>
        </w:rPr>
      </w:pPr>
    </w:p>
    <w:p w14:paraId="1C067BA3" w14:textId="77777777" w:rsidR="00AF3A3B" w:rsidRDefault="00AF3A3B" w:rsidP="00AF3A3B">
      <w:pPr>
        <w:rPr>
          <w:rFonts w:ascii="Times New Roman" w:eastAsia="Times New Roman" w:hAnsi="Times New Roman" w:cs="Times New Roman"/>
        </w:rPr>
      </w:pPr>
      <w:r w:rsidRPr="00AF3A3B">
        <w:rPr>
          <w:rFonts w:ascii="Times New Roman" w:eastAsia="Times New Roman" w:hAnsi="Times New Roman" w:cs="Times New Roman"/>
        </w:rPr>
        <w:t>The boxplot of Daily Percent Positive by Year clearly shows variation across the three years. The median positivity in 2022 is noticeably higher than in 2020 and 2021, with a wider interquartile range and several extreme values. In contrast, 2021 exhibits the lowest median and a relatively compact distribution, while 2020 falls in between. These patterns suggest potential differences in mean positivity rates, aligning with the research question.</w:t>
      </w:r>
    </w:p>
    <w:p w14:paraId="2914A36C" w14:textId="77777777" w:rsidR="0075063D" w:rsidRDefault="0075063D" w:rsidP="00AF3A3B">
      <w:pPr>
        <w:rPr>
          <w:rFonts w:ascii="Times New Roman" w:eastAsia="Times New Roman" w:hAnsi="Times New Roman" w:cs="Times New Roman"/>
        </w:rPr>
      </w:pPr>
    </w:p>
    <w:p w14:paraId="59C13D75" w14:textId="77777777" w:rsidR="009A11B1" w:rsidRPr="009A11B1" w:rsidRDefault="009A11B1" w:rsidP="009A11B1">
      <w:pPr>
        <w:rPr>
          <w:rFonts w:ascii="Times New Roman" w:eastAsia="Times New Roman" w:hAnsi="Times New Roman" w:cs="Times New Roman"/>
          <w:b/>
          <w:bCs/>
          <w:lang w:val="en-IN"/>
        </w:rPr>
      </w:pPr>
      <w:r w:rsidRPr="009A11B1">
        <w:rPr>
          <w:rFonts w:ascii="Times New Roman" w:eastAsia="Times New Roman" w:hAnsi="Times New Roman" w:cs="Times New Roman"/>
          <w:b/>
          <w:bCs/>
          <w:lang w:val="en-IN"/>
        </w:rPr>
        <w:t>Supplementary plot (Histogram)</w:t>
      </w:r>
    </w:p>
    <w:p w14:paraId="5B456448" w14:textId="77777777" w:rsidR="009A11B1" w:rsidRDefault="009A11B1" w:rsidP="00AF3A3B">
      <w:pPr>
        <w:rPr>
          <w:rFonts w:ascii="Times New Roman" w:eastAsia="Times New Roman" w:hAnsi="Times New Roman" w:cs="Times New Roman"/>
        </w:rPr>
      </w:pPr>
    </w:p>
    <w:p w14:paraId="2C672F35" w14:textId="77777777"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histogram of Daily Percent Positive (Combined) reveals a right-skewed distribution, with most daily positivity rates concentrated below 15%. A long tail extends toward higher values, indicating occasional spikes in positivity. The overlayed normal curve shows deviation from normality, suggesting that the data may not perfectly meet parametric assumptions. This insight is useful for deciding whether transformations or non-parametric tests might be necessary.</w:t>
      </w:r>
    </w:p>
    <w:p w14:paraId="0622D81B" w14:textId="77777777" w:rsidR="009A11B1" w:rsidRDefault="009A11B1" w:rsidP="00AF3A3B">
      <w:pPr>
        <w:rPr>
          <w:rFonts w:ascii="Times New Roman" w:eastAsia="Times New Roman" w:hAnsi="Times New Roman" w:cs="Times New Roman"/>
        </w:rPr>
      </w:pPr>
    </w:p>
    <w:p w14:paraId="4895CB68" w14:textId="359C84E0" w:rsidR="009A11B1" w:rsidRDefault="009A11B1" w:rsidP="00AF3A3B">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0A258B2" wp14:editId="1EB277B4">
            <wp:extent cx="5974080" cy="3078480"/>
            <wp:effectExtent l="0" t="0" r="7620" b="7620"/>
            <wp:docPr id="2086078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8943" name="Picture 2086078943"/>
                    <pic:cNvPicPr/>
                  </pic:nvPicPr>
                  <pic:blipFill>
                    <a:blip r:embed="rId9">
                      <a:extLst>
                        <a:ext uri="{28A0092B-C50C-407E-A947-70E740481C1C}">
                          <a14:useLocalDpi xmlns:a14="http://schemas.microsoft.com/office/drawing/2010/main" val="0"/>
                        </a:ext>
                      </a:extLst>
                    </a:blip>
                    <a:stretch>
                      <a:fillRect/>
                    </a:stretch>
                  </pic:blipFill>
                  <pic:spPr>
                    <a:xfrm>
                      <a:off x="0" y="0"/>
                      <a:ext cx="5974080" cy="3078480"/>
                    </a:xfrm>
                    <a:prstGeom prst="rect">
                      <a:avLst/>
                    </a:prstGeom>
                  </pic:spPr>
                </pic:pic>
              </a:graphicData>
            </a:graphic>
          </wp:inline>
        </w:drawing>
      </w:r>
    </w:p>
    <w:p w14:paraId="2DC165E4" w14:textId="77777777" w:rsidR="009A11B1" w:rsidRPr="009A11B1" w:rsidRDefault="009A11B1" w:rsidP="009A11B1">
      <w:pPr>
        <w:rPr>
          <w:rFonts w:ascii="Times New Roman" w:eastAsia="Times New Roman" w:hAnsi="Times New Roman" w:cs="Times New Roman"/>
        </w:rPr>
      </w:pPr>
    </w:p>
    <w:p w14:paraId="6F6EAF4C" w14:textId="557C2E6C" w:rsidR="009A11B1" w:rsidRPr="009A11B1" w:rsidRDefault="009A11B1" w:rsidP="009A11B1">
      <w:pPr>
        <w:pStyle w:val="ListParagraph"/>
        <w:numPr>
          <w:ilvl w:val="1"/>
          <w:numId w:val="32"/>
        </w:numPr>
        <w:rPr>
          <w:rFonts w:ascii="Times New Roman" w:eastAsia="Times New Roman" w:hAnsi="Times New Roman" w:cs="Times New Roman"/>
          <w:b/>
          <w:bCs/>
          <w:i/>
          <w:iCs/>
        </w:rPr>
      </w:pPr>
      <w:r w:rsidRPr="009A11B1">
        <w:rPr>
          <w:rFonts w:ascii="Times New Roman" w:eastAsia="Times New Roman" w:hAnsi="Times New Roman" w:cs="Times New Roman"/>
          <w:b/>
          <w:bCs/>
        </w:rPr>
        <w:t xml:space="preserve">Useful information for the data understanding (50 words) </w:t>
      </w:r>
    </w:p>
    <w:p w14:paraId="5CDEB5E7" w14:textId="77777777" w:rsidR="009A11B1" w:rsidRDefault="009A11B1" w:rsidP="009A11B1">
      <w:pPr>
        <w:rPr>
          <w:rFonts w:ascii="Times New Roman" w:eastAsia="Times New Roman" w:hAnsi="Times New Roman" w:cs="Times New Roman"/>
        </w:rPr>
      </w:pPr>
    </w:p>
    <w:p w14:paraId="086BBC00" w14:textId="113B1CA9" w:rsidR="009A11B1" w:rsidRPr="009A11B1" w:rsidRDefault="009A11B1" w:rsidP="009A11B1">
      <w:pPr>
        <w:rPr>
          <w:rFonts w:ascii="Times New Roman" w:eastAsia="Times New Roman" w:hAnsi="Times New Roman" w:cs="Times New Roman"/>
        </w:rPr>
      </w:pPr>
      <w:r w:rsidRPr="009A11B1">
        <w:rPr>
          <w:rFonts w:ascii="Times New Roman" w:eastAsia="Times New Roman" w:hAnsi="Times New Roman" w:cs="Times New Roman"/>
        </w:rPr>
        <w:t>The boxplot indicates substantial variability in positivity rates across years, with 2022 showing the highest spread and median. The histogram confirms that most observations cluster at lower positivity levels, with a few extreme peaks. Together, these plots highlight temporal differences and distributional skewness, informing both hypothesis testing and interpretation.</w:t>
      </w:r>
    </w:p>
    <w:p w14:paraId="037B65E8" w14:textId="77777777" w:rsidR="009A11B1" w:rsidRPr="00AF3A3B" w:rsidRDefault="009A11B1" w:rsidP="00AF3A3B">
      <w:pPr>
        <w:rPr>
          <w:rFonts w:ascii="Times New Roman" w:eastAsia="Times New Roman" w:hAnsi="Times New Roman" w:cs="Times New Roman"/>
        </w:rPr>
      </w:pPr>
    </w:p>
    <w:p w14:paraId="745F4979" w14:textId="77777777" w:rsidR="00AF3A3B" w:rsidRPr="00AF3A3B" w:rsidRDefault="00AF3A3B" w:rsidP="00AF3A3B">
      <w:pPr>
        <w:rPr>
          <w:rFonts w:ascii="Times New Roman" w:eastAsia="Times New Roman" w:hAnsi="Times New Roman" w:cs="Times New Roman"/>
        </w:rPr>
      </w:pP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lastRenderedPageBreak/>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06A63" w14:textId="77777777" w:rsidR="00BA3A2D" w:rsidRDefault="00BA3A2D" w:rsidP="000F7A9B">
      <w:r>
        <w:separator/>
      </w:r>
    </w:p>
  </w:endnote>
  <w:endnote w:type="continuationSeparator" w:id="0">
    <w:p w14:paraId="1F80D7BF" w14:textId="77777777" w:rsidR="00BA3A2D" w:rsidRDefault="00BA3A2D" w:rsidP="000F7A9B">
      <w:r>
        <w:continuationSeparator/>
      </w:r>
    </w:p>
  </w:endnote>
  <w:endnote w:type="continuationNotice" w:id="1">
    <w:p w14:paraId="62D29FD4" w14:textId="77777777" w:rsidR="00BA3A2D" w:rsidRDefault="00BA3A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2CC98" w14:textId="77777777" w:rsidR="00BA3A2D" w:rsidRDefault="00BA3A2D" w:rsidP="000F7A9B">
      <w:r>
        <w:separator/>
      </w:r>
    </w:p>
  </w:footnote>
  <w:footnote w:type="continuationSeparator" w:id="0">
    <w:p w14:paraId="2B249083" w14:textId="77777777" w:rsidR="00BA3A2D" w:rsidRDefault="00BA3A2D" w:rsidP="000F7A9B">
      <w:r>
        <w:continuationSeparator/>
      </w:r>
    </w:p>
  </w:footnote>
  <w:footnote w:type="continuationNotice" w:id="1">
    <w:p w14:paraId="14BB5D73" w14:textId="77777777" w:rsidR="00BA3A2D" w:rsidRDefault="00BA3A2D"/>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3760392"/>
    <w:multiLevelType w:val="hybridMultilevel"/>
    <w:tmpl w:val="EE70F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89B45FE4"/>
    <w:lvl w:ilvl="0">
      <w:start w:val="1"/>
      <w:numFmt w:val="decimal"/>
      <w:lvlText w:val="%1."/>
      <w:lvlJc w:val="left"/>
      <w:pPr>
        <w:ind w:left="720" w:hanging="360"/>
      </w:pPr>
    </w:lvl>
    <w:lvl w:ilvl="1">
      <w:start w:val="1"/>
      <w:numFmt w:val="decimal"/>
      <w:lvlText w:val="%1.%2."/>
      <w:lvlJc w:val="left"/>
      <w:pPr>
        <w:ind w:left="1069"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9"/>
  </w:num>
  <w:num w:numId="5" w16cid:durableId="1839346339">
    <w:abstractNumId w:val="18"/>
  </w:num>
  <w:num w:numId="6" w16cid:durableId="1380855808">
    <w:abstractNumId w:val="10"/>
  </w:num>
  <w:num w:numId="7" w16cid:durableId="565338146">
    <w:abstractNumId w:val="31"/>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30"/>
  </w:num>
  <w:num w:numId="31" w16cid:durableId="1358778646">
    <w:abstractNumId w:val="21"/>
  </w:num>
  <w:num w:numId="32" w16cid:durableId="186406669">
    <w:abstractNumId w:val="32"/>
  </w:num>
  <w:num w:numId="33" w16cid:durableId="364215154">
    <w:abstractNumId w:val="3"/>
  </w:num>
  <w:num w:numId="34" w16cid:durableId="1448508535">
    <w:abstractNumId w:val="32"/>
  </w:num>
  <w:num w:numId="35" w16cid:durableId="207057034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1A5D1F"/>
    <w:rsid w:val="0021180A"/>
    <w:rsid w:val="00230C42"/>
    <w:rsid w:val="002A3C39"/>
    <w:rsid w:val="002B1352"/>
    <w:rsid w:val="00305E5C"/>
    <w:rsid w:val="003147CA"/>
    <w:rsid w:val="00323FB2"/>
    <w:rsid w:val="00331CB4"/>
    <w:rsid w:val="00337C97"/>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A6168"/>
    <w:rsid w:val="004E74FD"/>
    <w:rsid w:val="00544349"/>
    <w:rsid w:val="00563ABA"/>
    <w:rsid w:val="005C0287"/>
    <w:rsid w:val="005C56CD"/>
    <w:rsid w:val="005E431C"/>
    <w:rsid w:val="005E65FE"/>
    <w:rsid w:val="005E6DCD"/>
    <w:rsid w:val="0060489D"/>
    <w:rsid w:val="00637EB8"/>
    <w:rsid w:val="006911B0"/>
    <w:rsid w:val="00695C53"/>
    <w:rsid w:val="006E14BD"/>
    <w:rsid w:val="00702B37"/>
    <w:rsid w:val="0075063D"/>
    <w:rsid w:val="007749BF"/>
    <w:rsid w:val="007919F5"/>
    <w:rsid w:val="007E5960"/>
    <w:rsid w:val="007E7E1D"/>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11B1"/>
    <w:rsid w:val="009A4C41"/>
    <w:rsid w:val="009C2821"/>
    <w:rsid w:val="009E4512"/>
    <w:rsid w:val="009F760B"/>
    <w:rsid w:val="00A315D2"/>
    <w:rsid w:val="00A508EB"/>
    <w:rsid w:val="00A766EC"/>
    <w:rsid w:val="00AF3A3B"/>
    <w:rsid w:val="00B01986"/>
    <w:rsid w:val="00B3092F"/>
    <w:rsid w:val="00B34F0E"/>
    <w:rsid w:val="00B70B58"/>
    <w:rsid w:val="00B97D7C"/>
    <w:rsid w:val="00BA3A2D"/>
    <w:rsid w:val="00BC4CBB"/>
    <w:rsid w:val="00BC4DE6"/>
    <w:rsid w:val="00C329D2"/>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0E75"/>
    <w:rsid w:val="00D911ED"/>
    <w:rsid w:val="00DA04D4"/>
    <w:rsid w:val="00DA7833"/>
    <w:rsid w:val="00DF4FF0"/>
    <w:rsid w:val="00DF7999"/>
    <w:rsid w:val="00E04064"/>
    <w:rsid w:val="00E04520"/>
    <w:rsid w:val="00E6189E"/>
    <w:rsid w:val="00E7239C"/>
    <w:rsid w:val="00E82355"/>
    <w:rsid w:val="00EB4177"/>
    <w:rsid w:val="00ED30FE"/>
    <w:rsid w:val="00EE47A2"/>
    <w:rsid w:val="00F0288F"/>
    <w:rsid w:val="00F06F16"/>
    <w:rsid w:val="00F16E11"/>
    <w:rsid w:val="00F270E1"/>
    <w:rsid w:val="00F3547D"/>
    <w:rsid w:val="00F66B0C"/>
    <w:rsid w:val="00F96DB0"/>
    <w:rsid w:val="00FB2511"/>
    <w:rsid w:val="00FB6638"/>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1543</Words>
  <Characters>8801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Abir Mahmud [Student-PECS]</cp:lastModifiedBy>
  <cp:revision>9</cp:revision>
  <dcterms:created xsi:type="dcterms:W3CDTF">2025-10-31T11:57:00Z</dcterms:created>
  <dcterms:modified xsi:type="dcterms:W3CDTF">2025-12-10T20:57:00Z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7d98b9fb-2416-43a0-a665-354f534d4057</vt:lpwstr>
  </property>
</Properties>
</file>