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200780D9" w14:textId="20E295F6" w:rsidR="00CD56D6" w:rsidRPr="00D90E75" w:rsidRDefault="00CD56D6" w:rsidP="00AF3A3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F3A3B" w:rsidRPr="00D90E75">
        <w:rPr>
          <w:rFonts w:ascii="Times New Roman" w:eastAsia="Times New Roman" w:hAnsi="Times New Roman" w:cs="Times New Roman"/>
          <w:iCs/>
        </w:rPr>
        <w:t>Sayed Bin Harun 24131097</w:t>
      </w:r>
    </w:p>
    <w:p w14:paraId="77DCA98B" w14:textId="5A5CF48B" w:rsidR="00D90E75" w:rsidRPr="00D90E75" w:rsidRDefault="00D90E75" w:rsidP="00AF3A3B">
      <w:pPr>
        <w:rPr>
          <w:rFonts w:ascii="Times New Roman" w:eastAsia="Times New Roman" w:hAnsi="Times New Roman" w:cs="Times New Roman"/>
          <w:iCs/>
        </w:rPr>
      </w:pPr>
      <w:r w:rsidRPr="00D90E75">
        <w:rPr>
          <w:rFonts w:ascii="Times New Roman" w:eastAsia="Times New Roman" w:hAnsi="Times New Roman" w:cs="Times New Roman"/>
          <w:iCs/>
        </w:rPr>
        <w:t xml:space="preserve">                     Mahmood Parvez 24153575</w:t>
      </w:r>
    </w:p>
    <w:p w14:paraId="1DDDCCFA" w14:textId="01B8F448" w:rsidR="00AF3A3B" w:rsidRPr="00AF3A3B" w:rsidRDefault="00AF3A3B" w:rsidP="00AF3A3B">
      <w:pPr>
        <w:rPr>
          <w:rFonts w:ascii="Times New Roman" w:eastAsia="Times New Roman" w:hAnsi="Times New Roman" w:cs="Times New Roman"/>
          <w:iCs/>
          <w:highlight w:val="yellow"/>
        </w:rPr>
      </w:pPr>
      <w:r>
        <w:rPr>
          <w:rFonts w:ascii="Times New Roman" w:eastAsia="Times New Roman" w:hAnsi="Times New Roman" w:cs="Times New Roman"/>
          <w:iCs/>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967410F" w14:textId="77777777" w:rsidR="00AF3A3B" w:rsidRDefault="00AF3A3B">
      <w:pPr>
        <w:rPr>
          <w:rFonts w:ascii="Times New Roman" w:eastAsia="Times New Roman" w:hAnsi="Times New Roman" w:cs="Times New Roman"/>
        </w:rPr>
      </w:pPr>
    </w:p>
    <w:p w14:paraId="570BC111" w14:textId="77777777" w:rsidR="00AF3A3B" w:rsidRDefault="00AF3A3B">
      <w:pPr>
        <w:rPr>
          <w:rFonts w:ascii="Times New Roman" w:eastAsia="Times New Roman" w:hAnsi="Times New Roman" w:cs="Times New Roman"/>
        </w:rPr>
      </w:pPr>
    </w:p>
    <w:p w14:paraId="3D8F617B" w14:textId="77777777" w:rsidR="00AF3A3B" w:rsidRDefault="00AF3A3B">
      <w:pPr>
        <w:rPr>
          <w:rFonts w:ascii="Times New Roman" w:eastAsia="Times New Roman" w:hAnsi="Times New Roman" w:cs="Times New Roman"/>
        </w:rPr>
      </w:pPr>
    </w:p>
    <w:p w14:paraId="26395B91" w14:textId="77777777" w:rsidR="00AF3A3B" w:rsidRDefault="00AF3A3B">
      <w:pPr>
        <w:rPr>
          <w:rFonts w:ascii="Times New Roman" w:eastAsia="Times New Roman" w:hAnsi="Times New Roman" w:cs="Times New Roman"/>
        </w:rPr>
      </w:pPr>
    </w:p>
    <w:p w14:paraId="5381CE71" w14:textId="77777777" w:rsidR="00AF3A3B" w:rsidRDefault="00AF3A3B">
      <w:pPr>
        <w:rPr>
          <w:rFonts w:ascii="Times New Roman" w:eastAsia="Times New Roman" w:hAnsi="Times New Roman" w:cs="Times New Roman"/>
        </w:rPr>
      </w:pPr>
    </w:p>
    <w:p w14:paraId="7A9FD7B7" w14:textId="77777777" w:rsidR="00AF3A3B" w:rsidRDefault="00AF3A3B">
      <w:pPr>
        <w:rPr>
          <w:rFonts w:ascii="Times New Roman" w:eastAsia="Times New Roman" w:hAnsi="Times New Roman" w:cs="Times New Roman"/>
        </w:rPr>
      </w:pPr>
    </w:p>
    <w:p w14:paraId="2CD6A25A" w14:textId="77777777" w:rsidR="00AF3A3B" w:rsidRDefault="00AF3A3B">
      <w:pPr>
        <w:rPr>
          <w:rFonts w:ascii="Times New Roman" w:eastAsia="Times New Roman" w:hAnsi="Times New Roman" w:cs="Times New Roman"/>
        </w:rPr>
      </w:pPr>
    </w:p>
    <w:p w14:paraId="62DDFD3A" w14:textId="77777777" w:rsidR="00AF3A3B" w:rsidRDefault="00AF3A3B">
      <w:pPr>
        <w:rPr>
          <w:rFonts w:ascii="Times New Roman" w:eastAsia="Times New Roman" w:hAnsi="Times New Roman" w:cs="Times New Roman"/>
        </w:rPr>
      </w:pPr>
    </w:p>
    <w:p w14:paraId="6E034740" w14:textId="77777777" w:rsidR="00AF3A3B" w:rsidRDefault="00AF3A3B">
      <w:pPr>
        <w:rPr>
          <w:rFonts w:ascii="Times New Roman" w:eastAsia="Times New Roman" w:hAnsi="Times New Roman" w:cs="Times New Roman"/>
        </w:rPr>
      </w:pPr>
    </w:p>
    <w:p w14:paraId="0FE3631A" w14:textId="77777777" w:rsidR="00AF3A3B" w:rsidRDefault="00AF3A3B">
      <w:pPr>
        <w:rPr>
          <w:rFonts w:ascii="Times New Roman" w:eastAsia="Times New Roman" w:hAnsi="Times New Roman" w:cs="Times New Roman"/>
        </w:rPr>
      </w:pPr>
    </w:p>
    <w:p w14:paraId="1C2DD081" w14:textId="77777777" w:rsidR="00AF3A3B" w:rsidRDefault="00AF3A3B">
      <w:pPr>
        <w:rPr>
          <w:rFonts w:ascii="Times New Roman" w:eastAsia="Times New Roman" w:hAnsi="Times New Roman" w:cs="Times New Roman"/>
        </w:rPr>
      </w:pPr>
    </w:p>
    <w:p w14:paraId="5D77451B" w14:textId="77777777" w:rsidR="00AF3A3B" w:rsidRDefault="00AF3A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A5A7F6" w14:textId="3F6CD4EF" w:rsidR="4ABDCFE3" w:rsidRPr="00AF3A3B" w:rsidRDefault="50E41D14" w:rsidP="00AF3A3B">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4ABDCFE3">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589ECC7C" w14:textId="0E659DC2" w:rsidR="00C329D2" w:rsidRPr="00C329D2" w:rsidRDefault="00C329D2" w:rsidP="00C329D2">
      <w:pPr>
        <w:pStyle w:val="ListParagraph"/>
        <w:ind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329D2">
        <w:rPr>
          <w:rFonts w:ascii="Times New Roman" w:eastAsia="Times New Roman" w:hAnsi="Times New Roman" w:cs="Times New Roman"/>
        </w:rPr>
        <w:t>Large multinational companies rely on performance metrics such as revenue and employee count to signal organisational scale and capacity. Classic growth theory, including Penrose’s view of firms as evolving resource bundles, suggests that expansion in one dimension often requires growth in others. Empirical studies on firm</w:t>
      </w:r>
      <w:r w:rsidRPr="00C329D2">
        <w:rPr>
          <w:rFonts w:ascii="Times New Roman" w:eastAsia="Times New Roman" w:hAnsi="Times New Roman" w:cs="Times New Roman"/>
        </w:rPr>
        <w:noBreakHyphen/>
        <w:t>size distributions also highlight persistent patterns linking operational scale and financial outcomes. Yet, limited research examines this relationship across the world’s largest corporations. This study investigates whether revenue and employee numbers are significantly correlated, providing insights valuable for researchers, policymakers, and stakeholders seeking to understand how scale shapes corporate behaviour and economic impact.</w:t>
      </w:r>
    </w:p>
    <w:p w14:paraId="36B64A27" w14:textId="580EA5C0" w:rsidR="4ABDCFE3" w:rsidRPr="00C329D2" w:rsidRDefault="4ABDCFE3" w:rsidP="4ABDCFE3">
      <w:pPr>
        <w:pStyle w:val="ListParagraph"/>
        <w:ind w:left="1440" w:hanging="720"/>
        <w:rPr>
          <w:rFonts w:ascii="Times New Roman" w:eastAsia="Times New Roman" w:hAnsi="Times New Roman" w:cs="Times New Roman"/>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42FEBE5" w14:textId="50107F96" w:rsidR="5D5E0517" w:rsidRDefault="5D5E0517" w:rsidP="00AF3A3B">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AF3A3B" w:rsidRDefault="00CD56D6" w:rsidP="7FBAA7B2">
      <w:pPr>
        <w:pStyle w:val="ListParagraph"/>
        <w:numPr>
          <w:ilvl w:val="0"/>
          <w:numId w:val="32"/>
        </w:numPr>
        <w:rPr>
          <w:rFonts w:ascii="Times New Roman" w:eastAsia="Times New Roman" w:hAnsi="Times New Roman" w:cs="Times New Roman"/>
          <w:b/>
          <w:bCs/>
        </w:rPr>
      </w:pPr>
      <w:r w:rsidRPr="00AF3A3B">
        <w:rPr>
          <w:rFonts w:ascii="Times New Roman" w:eastAsia="Times New Roman" w:hAnsi="Times New Roman" w:cs="Times New Roman"/>
          <w:b/>
          <w:bCs/>
        </w:rPr>
        <w:t>Visualisation</w:t>
      </w:r>
    </w:p>
    <w:p w14:paraId="7DD3BE85" w14:textId="24325279" w:rsidR="009279F0" w:rsidRPr="00AF3A3B" w:rsidRDefault="5D5E0517" w:rsidP="7FBAA7B2">
      <w:pPr>
        <w:pStyle w:val="ListParagraph"/>
        <w:numPr>
          <w:ilvl w:val="1"/>
          <w:numId w:val="32"/>
        </w:numPr>
        <w:ind w:hanging="720"/>
        <w:rPr>
          <w:rFonts w:ascii="Times New Roman" w:eastAsia="Times New Roman" w:hAnsi="Times New Roman" w:cs="Times New Roman"/>
          <w:b/>
          <w:bCs/>
        </w:rPr>
      </w:pPr>
      <w:r w:rsidRPr="00AF3A3B">
        <w:rPr>
          <w:rFonts w:ascii="Times New Roman" w:eastAsia="Times New Roman" w:hAnsi="Times New Roman" w:cs="Times New Roman"/>
          <w:b/>
          <w:bCs/>
        </w:rPr>
        <w:t xml:space="preserve">Appropriate </w:t>
      </w:r>
      <w:r w:rsidR="00CF2D90" w:rsidRPr="00AF3A3B">
        <w:rPr>
          <w:rFonts w:ascii="Times New Roman" w:eastAsia="Times New Roman" w:hAnsi="Times New Roman" w:cs="Times New Roman"/>
          <w:b/>
          <w:bCs/>
        </w:rPr>
        <w:t>graphs</w:t>
      </w:r>
      <w:r w:rsidRPr="00AF3A3B">
        <w:rPr>
          <w:rFonts w:ascii="Times New Roman" w:eastAsia="Times New Roman" w:hAnsi="Times New Roman" w:cs="Times New Roman"/>
          <w:b/>
          <w:bCs/>
        </w:rPr>
        <w:t xml:space="preserve"> for the RQ output of an R script (NOT a screenshot)</w:t>
      </w:r>
      <w:r w:rsidR="28EE4D89" w:rsidRPr="00AF3A3B">
        <w:rPr>
          <w:rFonts w:ascii="Times New Roman" w:eastAsia="Times New Roman" w:hAnsi="Times New Roman" w:cs="Times New Roman"/>
          <w:b/>
          <w:bCs/>
          <w:i/>
          <w:iCs/>
        </w:rPr>
        <w:t xml:space="preserve"> </w:t>
      </w:r>
      <w:r w:rsidR="28EE4D89" w:rsidRPr="00AF3A3B">
        <w:rPr>
          <w:rFonts w:ascii="Times New Roman" w:eastAsia="Times New Roman" w:hAnsi="Times New Roman" w:cs="Times New Roman"/>
          <w:b/>
          <w:bCs/>
        </w:rPr>
        <w:t>(50 words)</w:t>
      </w:r>
      <w:r w:rsidR="000F7A9B" w:rsidRPr="00AF3A3B">
        <w:rPr>
          <w:rFonts w:ascii="Times New Roman" w:eastAsia="Times New Roman" w:hAnsi="Times New Roman" w:cs="Times New Roman"/>
          <w:b/>
          <w:bCs/>
        </w:rPr>
        <w:t xml:space="preserve"> </w:t>
      </w:r>
    </w:p>
    <w:p w14:paraId="621E2F72" w14:textId="77777777" w:rsidR="00AF3A3B" w:rsidRDefault="00AF3A3B" w:rsidP="00AF3A3B">
      <w:pPr>
        <w:rPr>
          <w:rFonts w:ascii="Times New Roman" w:eastAsia="Times New Roman" w:hAnsi="Times New Roman" w:cs="Times New Roman"/>
        </w:rPr>
      </w:pPr>
    </w:p>
    <w:p w14:paraId="298CA2F2" w14:textId="77777777" w:rsidR="00AF3A3B" w:rsidRP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Choice of the plot</w:t>
      </w:r>
    </w:p>
    <w:p w14:paraId="70F8A24D" w14:textId="77777777" w:rsidR="00AF3A3B" w:rsidRDefault="00AF3A3B" w:rsidP="00AF3A3B">
      <w:pPr>
        <w:rPr>
          <w:rFonts w:ascii="Times New Roman" w:eastAsia="Times New Roman" w:hAnsi="Times New Roman" w:cs="Times New Roman"/>
        </w:rPr>
      </w:pPr>
    </w:p>
    <w:p w14:paraId="30ED914C" w14:textId="77777777" w:rsidR="00AF3A3B" w:rsidRP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research question focuses on whether the mean daily COVID-19 positivity rate differs across years. A boxplot is the most appropriate choice because it effectively compares the distribution of a continuous variable (percent positive) across categorical groups (years). It highlights central tendency, spread, and outliers, which are essential for assessing differences in mean positivity between 2020, 2021, and 2022.</w:t>
      </w:r>
    </w:p>
    <w:p w14:paraId="19E91AEB" w14:textId="77777777" w:rsidR="00AF3A3B" w:rsidRDefault="00AF3A3B" w:rsidP="00AF3A3B">
      <w:pPr>
        <w:rPr>
          <w:rFonts w:ascii="Times New Roman" w:eastAsia="Times New Roman" w:hAnsi="Times New Roman" w:cs="Times New Roman"/>
        </w:rPr>
      </w:pPr>
    </w:p>
    <w:p w14:paraId="65E2E031" w14:textId="42D4FA1A" w:rsidR="00AF3A3B" w:rsidRDefault="00AF3A3B" w:rsidP="00AF3A3B">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3308820" wp14:editId="6B61C3EF">
            <wp:extent cx="5731510" cy="3002280"/>
            <wp:effectExtent l="0" t="0" r="2540" b="7620"/>
            <wp:docPr id="1729454960" name="Picture 1" descr="graph of a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4960" name="Picture 1" descr="graph of a bar char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p>
    <w:p w14:paraId="28572EEF" w14:textId="4178060A" w:rsid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Main plot relevant to the RQ</w:t>
      </w:r>
    </w:p>
    <w:p w14:paraId="1CDB59BD" w14:textId="77777777" w:rsidR="00AF3A3B" w:rsidRDefault="00AF3A3B" w:rsidP="00AF3A3B">
      <w:pPr>
        <w:rPr>
          <w:rFonts w:ascii="Times New Roman" w:eastAsia="Times New Roman" w:hAnsi="Times New Roman" w:cs="Times New Roman"/>
          <w:b/>
          <w:bCs/>
          <w:lang w:val="en-IN"/>
        </w:rPr>
      </w:pPr>
    </w:p>
    <w:p w14:paraId="1C067BA3" w14:textId="77777777" w:rsid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boxplot of Daily Percent Positive by Year clearly shows variation across the three years. The median positivity in 2022 is noticeably higher than in 2020 and 2021, with a wider interquartile range and several extreme values. In contrast, 2021 exhibits the lowest median and a relatively compact distribution, while 2020 falls in between. These patterns suggest potential differences in mean positivity rates, aligning with the research question.</w:t>
      </w:r>
    </w:p>
    <w:p w14:paraId="2914A36C" w14:textId="77777777" w:rsidR="0075063D" w:rsidRDefault="0075063D" w:rsidP="00AF3A3B">
      <w:pPr>
        <w:rPr>
          <w:rFonts w:ascii="Times New Roman" w:eastAsia="Times New Roman" w:hAnsi="Times New Roman" w:cs="Times New Roman"/>
        </w:rPr>
      </w:pPr>
    </w:p>
    <w:p w14:paraId="59C13D75" w14:textId="77777777" w:rsidR="009A11B1" w:rsidRPr="009A11B1" w:rsidRDefault="009A11B1" w:rsidP="009A11B1">
      <w:pPr>
        <w:rPr>
          <w:rFonts w:ascii="Times New Roman" w:eastAsia="Times New Roman" w:hAnsi="Times New Roman" w:cs="Times New Roman"/>
          <w:b/>
          <w:bCs/>
          <w:lang w:val="en-IN"/>
        </w:rPr>
      </w:pPr>
      <w:r w:rsidRPr="009A11B1">
        <w:rPr>
          <w:rFonts w:ascii="Times New Roman" w:eastAsia="Times New Roman" w:hAnsi="Times New Roman" w:cs="Times New Roman"/>
          <w:b/>
          <w:bCs/>
          <w:lang w:val="en-IN"/>
        </w:rPr>
        <w:t>Supplementary plot (Histogram)</w:t>
      </w:r>
    </w:p>
    <w:p w14:paraId="5B456448" w14:textId="77777777" w:rsidR="009A11B1" w:rsidRDefault="009A11B1" w:rsidP="00AF3A3B">
      <w:pPr>
        <w:rPr>
          <w:rFonts w:ascii="Times New Roman" w:eastAsia="Times New Roman" w:hAnsi="Times New Roman" w:cs="Times New Roman"/>
        </w:rPr>
      </w:pPr>
    </w:p>
    <w:p w14:paraId="2C672F35" w14:textId="77777777"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histogram of Daily Percent Positive (Combined) reveals a right-skewed distribution, with most daily positivity rates concentrated below 15%. A long tail extends toward higher values, indicating occasional spikes in positivity. The overlayed normal curve shows deviation from normality, suggesting that the data may not perfectly meet parametric assumptions. This insight is useful for deciding whether transformations or non-parametric tests might be necessary.</w:t>
      </w:r>
    </w:p>
    <w:p w14:paraId="0622D81B" w14:textId="77777777" w:rsidR="009A11B1" w:rsidRDefault="009A11B1" w:rsidP="00AF3A3B">
      <w:pPr>
        <w:rPr>
          <w:rFonts w:ascii="Times New Roman" w:eastAsia="Times New Roman" w:hAnsi="Times New Roman" w:cs="Times New Roman"/>
        </w:rPr>
      </w:pPr>
    </w:p>
    <w:p w14:paraId="4895CB68" w14:textId="359C84E0" w:rsidR="009A11B1" w:rsidRDefault="009A11B1" w:rsidP="00AF3A3B">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0A258B2" wp14:editId="1EB277B4">
            <wp:extent cx="5974080" cy="3078480"/>
            <wp:effectExtent l="0" t="0" r="7620" b="7620"/>
            <wp:docPr id="2086078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8943" name="Picture 2086078943"/>
                    <pic:cNvPicPr/>
                  </pic:nvPicPr>
                  <pic:blipFill>
                    <a:blip r:embed="rId9">
                      <a:extLst>
                        <a:ext uri="{28A0092B-C50C-407E-A947-70E740481C1C}">
                          <a14:useLocalDpi xmlns:a14="http://schemas.microsoft.com/office/drawing/2010/main" val="0"/>
                        </a:ext>
                      </a:extLst>
                    </a:blip>
                    <a:stretch>
                      <a:fillRect/>
                    </a:stretch>
                  </pic:blipFill>
                  <pic:spPr>
                    <a:xfrm>
                      <a:off x="0" y="0"/>
                      <a:ext cx="5974080" cy="3078480"/>
                    </a:xfrm>
                    <a:prstGeom prst="rect">
                      <a:avLst/>
                    </a:prstGeom>
                  </pic:spPr>
                </pic:pic>
              </a:graphicData>
            </a:graphic>
          </wp:inline>
        </w:drawing>
      </w:r>
    </w:p>
    <w:p w14:paraId="2DC165E4" w14:textId="77777777" w:rsidR="009A11B1" w:rsidRPr="009A11B1" w:rsidRDefault="009A11B1" w:rsidP="009A11B1">
      <w:pPr>
        <w:rPr>
          <w:rFonts w:ascii="Times New Roman" w:eastAsia="Times New Roman" w:hAnsi="Times New Roman" w:cs="Times New Roman"/>
        </w:rPr>
      </w:pPr>
    </w:p>
    <w:p w14:paraId="6F6EAF4C" w14:textId="557C2E6C" w:rsidR="009A11B1" w:rsidRPr="009A11B1" w:rsidRDefault="009A11B1" w:rsidP="009A11B1">
      <w:pPr>
        <w:pStyle w:val="ListParagraph"/>
        <w:numPr>
          <w:ilvl w:val="1"/>
          <w:numId w:val="32"/>
        </w:numPr>
        <w:rPr>
          <w:rFonts w:ascii="Times New Roman" w:eastAsia="Times New Roman" w:hAnsi="Times New Roman" w:cs="Times New Roman"/>
          <w:b/>
          <w:bCs/>
          <w:i/>
          <w:iCs/>
        </w:rPr>
      </w:pPr>
      <w:r w:rsidRPr="009A11B1">
        <w:rPr>
          <w:rFonts w:ascii="Times New Roman" w:eastAsia="Times New Roman" w:hAnsi="Times New Roman" w:cs="Times New Roman"/>
          <w:b/>
          <w:bCs/>
        </w:rPr>
        <w:t xml:space="preserve">Useful information for the data understanding (50 words) </w:t>
      </w:r>
    </w:p>
    <w:p w14:paraId="5CDEB5E7" w14:textId="77777777" w:rsidR="009A11B1" w:rsidRDefault="009A11B1" w:rsidP="009A11B1">
      <w:pPr>
        <w:rPr>
          <w:rFonts w:ascii="Times New Roman" w:eastAsia="Times New Roman" w:hAnsi="Times New Roman" w:cs="Times New Roman"/>
        </w:rPr>
      </w:pPr>
    </w:p>
    <w:p w14:paraId="086BBC00" w14:textId="113B1CA9"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boxplot indicates substantial variability in positivity rates across years, with 2022 showing the highest spread and median. The histogram confirms that most observations cluster at lower positivity levels, with a few extreme peaks. Together, these plots highlight temporal differences and distributional skewness, informing both hypothesis testing and interpretation.</w:t>
      </w:r>
    </w:p>
    <w:p w14:paraId="037B65E8" w14:textId="77777777" w:rsidR="009A11B1" w:rsidRPr="00AF3A3B" w:rsidRDefault="009A11B1" w:rsidP="00AF3A3B">
      <w:pPr>
        <w:rPr>
          <w:rFonts w:ascii="Times New Roman" w:eastAsia="Times New Roman" w:hAnsi="Times New Roman" w:cs="Times New Roman"/>
        </w:rPr>
      </w:pPr>
    </w:p>
    <w:p w14:paraId="745F4979" w14:textId="77777777" w:rsidR="00AF3A3B" w:rsidRPr="00AF3A3B" w:rsidRDefault="00AF3A3B" w:rsidP="00AF3A3B">
      <w:pPr>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CA341" w14:textId="77777777" w:rsidR="001A5D1F" w:rsidRDefault="001A5D1F" w:rsidP="000F7A9B">
      <w:r>
        <w:separator/>
      </w:r>
    </w:p>
  </w:endnote>
  <w:endnote w:type="continuationSeparator" w:id="0">
    <w:p w14:paraId="52315997" w14:textId="77777777" w:rsidR="001A5D1F" w:rsidRDefault="001A5D1F" w:rsidP="000F7A9B">
      <w:r>
        <w:continuationSeparator/>
      </w:r>
    </w:p>
  </w:endnote>
  <w:endnote w:type="continuationNotice" w:id="1">
    <w:p w14:paraId="1A24AB22" w14:textId="77777777" w:rsidR="001A5D1F" w:rsidRDefault="001A5D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B516" w14:textId="77777777" w:rsidR="001A5D1F" w:rsidRDefault="001A5D1F" w:rsidP="000F7A9B">
      <w:r>
        <w:separator/>
      </w:r>
    </w:p>
  </w:footnote>
  <w:footnote w:type="continuationSeparator" w:id="0">
    <w:p w14:paraId="11E28404" w14:textId="77777777" w:rsidR="001A5D1F" w:rsidRDefault="001A5D1F" w:rsidP="000F7A9B">
      <w:r>
        <w:continuationSeparator/>
      </w:r>
    </w:p>
  </w:footnote>
  <w:footnote w:type="continuationNotice" w:id="1">
    <w:p w14:paraId="28FFAEA1" w14:textId="77777777" w:rsidR="001A5D1F" w:rsidRDefault="001A5D1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89B45FE4"/>
    <w:lvl w:ilvl="0">
      <w:start w:val="1"/>
      <w:numFmt w:val="decimal"/>
      <w:lvlText w:val="%1."/>
      <w:lvlJc w:val="left"/>
      <w:pPr>
        <w:ind w:left="720" w:hanging="360"/>
      </w:pPr>
    </w:lvl>
    <w:lvl w:ilvl="1">
      <w:start w:val="1"/>
      <w:numFmt w:val="decimal"/>
      <w:lvlText w:val="%1.%2."/>
      <w:lvlJc w:val="left"/>
      <w:pPr>
        <w:ind w:left="1069"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4485085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1A5D1F"/>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5063D"/>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11B1"/>
    <w:rsid w:val="009A4C41"/>
    <w:rsid w:val="009C2821"/>
    <w:rsid w:val="009E4512"/>
    <w:rsid w:val="009F760B"/>
    <w:rsid w:val="00A315D2"/>
    <w:rsid w:val="00A508EB"/>
    <w:rsid w:val="00A766EC"/>
    <w:rsid w:val="00AF3A3B"/>
    <w:rsid w:val="00B01986"/>
    <w:rsid w:val="00B3092F"/>
    <w:rsid w:val="00B34F0E"/>
    <w:rsid w:val="00B70B58"/>
    <w:rsid w:val="00B97D7C"/>
    <w:rsid w:val="00BC4CBB"/>
    <w:rsid w:val="00BC4DE6"/>
    <w:rsid w:val="00C329D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0E75"/>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16E11"/>
    <w:rsid w:val="00F270E1"/>
    <w:rsid w:val="00F3547D"/>
    <w:rsid w:val="00F66B0C"/>
    <w:rsid w:val="00F96DB0"/>
    <w:rsid w:val="00FB2511"/>
    <w:rsid w:val="00FB663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1253</Words>
  <Characters>6982</Characters>
  <Application>Microsoft Office Word</Application>
  <DocSecurity>0</DocSecurity>
  <Lines>232</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Mahmood Parvez [Student-PECS]</cp:lastModifiedBy>
  <cp:revision>7</cp:revision>
  <dcterms:created xsi:type="dcterms:W3CDTF">2025-10-31T11:57:00Z</dcterms:created>
  <dcterms:modified xsi:type="dcterms:W3CDTF">2025-12-08T13:01:00Z</dcterms:modified>
</cp:coreProperties>
</file>