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F3864"/>
          <w:sz w:val="56"/>
          <w:szCs w:val="56"/>
        </w:rPr>
        <w:t xml:space="preserve">ReArm Candor</w:t>
      </w:r>
    </w:p>
    <w:p>
      <w:pPr>
        <w:spacing w:after="300"/>
      </w:pPr>
      <w:r>
        <w:rPr>
          <w:color w:val="595959"/>
          <w:sz w:val="28"/>
          <w:szCs w:val="28"/>
        </w:rPr>
        <w:t xml:space="preserve">Product &amp; Compliance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Field</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Value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Document title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ReArm Candor — Product &amp; Compliance Specification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Document ID</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RAC-SPEC-001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Version</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v0.4 (supersedes v0.3)</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Classification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Internal — Pre-Certification Draft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Prepared by</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Shemaiah Osuchukwu, Founder &amp; CTO, ReArm</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Date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26 June 2026</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Status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Draft for internal audit review — not a certified compliance report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Distribution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Internal audit / compliance stakeholders</w:t>
            </w:r>
          </w:p>
        </w:tc>
      </w:tr>
    </w:tbl>
    <w:p>
      <w:r>
        <w:br w:type="page"/>
      </w:r>
    </w:p>
    <w:p>
      <w:pPr>
        <w:pStyle w:val="Heading1"/>
      </w:pPr>
      <w:r>
        <w:t xml:space="preserve">1. Purpose &amp; Scope</w:t>
      </w:r>
    </w:p>
    <w:p>
      <w:pPr>
        <w:spacing w:after="160"/>
      </w:pPr>
      <w:r>
        <w:t xml:space="preserve">This document summarizes the ReArm Candor product concept, system architecture, and known compliance, safety, and data-protection considerations, to support internal audit and pre-certification review.</w:t>
      </w:r>
    </w:p>
    <w:p>
      <w:pPr>
        <w:pBdr>
          <w:left w:val="single" w:color="C00000" w:sz="12" w:space="8"/>
        </w:pBdr>
        <w:spacing w:after="240" w:before="80"/>
        <w:ind w:left="120"/>
      </w:pPr>
      <w:r>
        <w:rPr>
          <w:i/>
          <w:iCs/>
          <w:color w:val="C00000"/>
          <w:sz w:val="21"/>
          <w:szCs w:val="21"/>
        </w:rPr>
        <w:t xml:space="preserve">This revision incorporates a second significant architecture change: front (and IR-assisted) camera images now stream live and continuously to an ML image-processing/object-detection pipeline, with no image data stored at any point in the pipeline. This is in addition to the outward-facing stereo cameras introduced in the prior revision. This remains a planning and review document, not a certified compliance report. Formal regulatory testing, legal review, and sign-off by accredited test houses and qualified counsel are required before market release.</w:t>
      </w:r>
    </w:p>
    <w:p>
      <w:pPr>
        <w:pStyle w:val="Heading1"/>
      </w:pPr>
      <w:r>
        <w:t xml:space="preserve">2. Product Description &amp; Intended Use</w:t>
      </w:r>
    </w:p>
    <w:p>
      <w:pPr>
        <w:spacing w:after="160"/>
      </w:pPr>
      <w:r>
        <w:t xml:space="preserve">ReArm Candor is a camera-equipped smart-eyewear bridge module: outward-facing stereo RGB/IR-assisted cameras stream live video to an ML pipeline (assumed to run on the companion mainboard) for image processing and object detection, combined with an inward-facing binocular infrared gaze-tracking array. The fused result determines what the wearer is looking at and how far away it is. No image data is intended to be stored anywhere in the pipeline.</w:t>
      </w:r>
    </w:p>
    <w:p>
      <w:pPr>
        <w:spacing w:after="160"/>
      </w:pPr>
      <w:r>
        <w:t xml:space="preserve">Components:</w:t>
      </w:r>
    </w:p>
    <w:p>
      <w:pPr>
        <w:pStyle w:val="ListParagraph"/>
        <w:numPr>
          <w:ilvl w:val="0"/>
          <w:numId w:val="2"/>
        </w:numPr>
        <w:spacing w:after="80"/>
      </w:pPr>
      <w:r>
        <w:t xml:space="preserve">Bridge module — front: stereo RGB/IR camera pair, IMU, lightweight sensor MCU; rear: binocular IR gaze array.</w:t>
      </w:r>
    </w:p>
    <w:p>
      <w:pPr>
        <w:pStyle w:val="ListParagraph"/>
        <w:numPr>
          <w:ilvl w:val="0"/>
          <w:numId w:val="2"/>
        </w:numPr>
        <w:spacing w:after="80"/>
      </w:pPr>
      <w:r>
        <w:t xml:space="preserve">Mainboard companion device — hosts the live ML image-processing/object-detection pipeline; worn or carried separately from the glasses.</w:t>
      </w:r>
    </w:p>
    <w:p>
      <w:pPr>
        <w:pStyle w:val="ListParagraph"/>
        <w:numPr>
          <w:ilvl w:val="0"/>
          <w:numId w:val="2"/>
        </w:numPr>
        <w:spacing w:after="80"/>
      </w:pPr>
      <w:r>
        <w:t xml:space="preserve">Charging case accessory — fast and ambient charging for the bridge module.</w:t>
      </w:r>
    </w:p>
    <w:p>
      <w:pPr>
        <w:pBdr>
          <w:left w:val="single" w:color="C00000" w:sz="12" w:space="8"/>
        </w:pBdr>
        <w:spacing w:after="240" w:before="80"/>
        <w:ind w:left="120"/>
      </w:pPr>
      <w:r>
        <w:rPr>
          <w:i/>
          <w:iCs/>
          <w:color w:val="C00000"/>
          <w:sz w:val="21"/>
          <w:szCs w:val="21"/>
        </w:rPr>
        <w:t xml:space="preserve">The addition of continuous live camera streaming narrows what a “non-medical consumer accessory” framing can cover on its own, on top of the outward-camera consideration already flagged in the prior revision. Re-confirm the intended-use statement with this in mind before relying on the rest of this section.</w:t>
      </w:r>
    </w:p>
    <w:p>
      <w:pPr>
        <w:pStyle w:val="Heading1"/>
      </w:pPr>
      <w:r>
        <w:t xml:space="preserve">3.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Component</w:t>
            </w:r>
          </w:p>
        </w:tc>
        <w:tc>
          <w:tcPr>
            <w:tcW w:type="dxa" w:w="4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Role</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Bridge module — front</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Captures stereo RGB/IR-assisted video and streams it live, continuously</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Outward-facing; no on-board image storage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Bridge module — rear</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Tracks both eyes’ gaze via reflected infrared, no inward cameras</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Inward-facing</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Mainboard</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Hosts the live ML image-processing/object-detection pipeline; fuses gaze and scene data</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Carried by the user or left stationary nearby; no persistent storage in the pipeline, per stated design intent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Charging case</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Houses charging electronics for the bridge module</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Accessory item, not part of the active data path</w:t>
            </w:r>
          </w:p>
        </w:tc>
      </w:tr>
    </w:tbl>
    <w:p>
      <w:pPr>
        <w:spacing w:after="160"/>
      </w:pPr>
      <w:r>
        <w:t xml:space="preserve">Design intent: front camera images stream live to the mainboard’s ML pipeline for object detection, and the gaze array’s outputs are fused with that result; no image data is written to persistent storage anywhere in the pipeline.</w:t>
      </w:r>
    </w:p>
    <w:p>
      <w:pPr>
        <w:pBdr>
          <w:left w:val="single" w:color="C00000" w:sz="12" w:space="8"/>
        </w:pBdr>
        <w:spacing w:after="240" w:before="80"/>
        <w:ind w:left="120"/>
      </w:pPr>
      <w:r>
        <w:rPr>
          <w:i/>
          <w:iCs/>
          <w:color w:val="C00000"/>
          <w:sz w:val="21"/>
          <w:szCs w:val="21"/>
        </w:rPr>
        <w:t xml:space="preserve">“No storage” is a meaningful design choice but it is not, by itself, a basis for exemption from data-protection law. Transient, real-time processing of personal data — including ML inference run on a live camera feed that may capture bystanders, and processing of the wearer’s own gaze/biometric signals — is still “processing” under UK/EU GDPR even when nothing is ever written to disk. In a number of jurisdictions, live capture of audio/video can also separately trigger recording- or consent-style rules regardless of storage. This is a stated design intent, not yet a verified implementation, and it does not remove the need for the DPIA and bystander-notification work recommended in Section 5.</w:t>
      </w:r>
    </w:p>
    <w:p>
      <w:pPr>
        <w:pStyle w:val="Heading1"/>
      </w:pPr>
      <w:r>
        <w:t xml:space="preserve">4. Regulatory &amp; Standards Considerations</w:t>
      </w:r>
    </w:p>
    <w:p>
      <w:pPr>
        <w:spacing w:after="160"/>
      </w:pPr>
      <w:r>
        <w:t xml:space="preserve">The table below identifies frameworks that are likely relevant given the product description. It is a starting point for due diligence, not a determination of applicability or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200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Area</w:t>
            </w:r>
          </w:p>
        </w:tc>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Likely applicable framework</w:t>
            </w:r>
          </w:p>
        </w:tc>
        <w:tc>
          <w:tcPr>
            <w:tcW w:type="dxa" w:w="2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Why it matters</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Status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Radio emissions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UK: Radio Equipment Regs / UKCA; EU: RED / CE; US: FCC Part 15</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The 2.4 GHz radio is an intentional radiator and typically needs type approval</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Not yet tested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RF exposure near the body</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ICNIRP guidelines / SAR-style assessment</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Device is worn on the head; near-body exposure limits can apply even at low transmit power</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Not yet assessed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Battery safety</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IEC 62133-2 (cell/pack safety); UN 38.3 (transport)</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Fast-charge battery worn close to the face; charge profile is being re-derived (see engineering spec)</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Not yet tested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Optical / IR eye safety</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IEC 62471; ISO 15004-2 (ophthalmic instruments)</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Two to four 940 nm IR LEDs per eye sit close to and continuously illuminate the eye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Not yet assessed — new in this revision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Recording-device / surveillance rules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Varies by jurisdiction — wiretap/consent law, bystander-recording rules</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Outward-facing cameras can capture identifiable third parties without their knowledge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Not yet assessed — new in this revision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Electrical / thermal safety</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IEC 62368-1 (or IEC 60950-1 legacy)</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General consumer product electrical safety</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Not yet assessed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Materials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RoHS; REACH</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Standard requirement for electronics sold in the UK/EU</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Not yet assessed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End-of-life</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WEEE</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Producer take-back and labelling obligations for electronic accessories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Not yet assessed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Data protection</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UK GDPR / EU GDPR</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Now covers both gaze biometric data and bystander camera imagery</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See Section 5</w:t>
            </w:r>
          </w:p>
        </w:tc>
      </w:tr>
    </w:tbl>
    <w:p>
      <w:pPr>
        <w:pBdr>
          <w:left w:val="single" w:color="C00000" w:sz="12" w:space="8"/>
        </w:pBdr>
        <w:spacing w:after="240" w:before="80"/>
        <w:ind w:left="120"/>
      </w:pPr>
      <w:r>
        <w:rPr>
          <w:i/>
          <w:iCs/>
          <w:color w:val="C00000"/>
          <w:sz w:val="21"/>
          <w:szCs w:val="21"/>
        </w:rPr>
        <w:t xml:space="preserve">Engage an accredited test lab and qualified legal counsel to confirm which obligations actually apply, particularly for the two rows newly introduced by the camera addition, before sale.</w:t>
      </w:r>
    </w:p>
    <w:p>
      <w:pPr>
        <w:pStyle w:val="Heading1"/>
      </w:pPr>
      <w:r>
        <w:t xml:space="preserve">5. Data Privacy &amp; Biometric / Bystander Data Considerations</w:t>
      </w:r>
    </w:p>
    <w:p>
      <w:pPr>
        <w:pStyle w:val="ListParagraph"/>
        <w:numPr>
          <w:ilvl w:val="0"/>
          <w:numId w:val="2"/>
        </w:numPr>
        <w:spacing w:after="80"/>
      </w:pPr>
      <w:r>
        <w:t xml:space="preserve">Gaze-tracking data can reveal sensitive information about a person and may be treated as biometric data under data protection law if used to identify an individual — carried over from the original gaze-only design.</w:t>
      </w:r>
    </w:p>
    <w:p>
      <w:pPr>
        <w:pStyle w:val="ListParagraph"/>
        <w:numPr>
          <w:ilvl w:val="0"/>
          <w:numId w:val="2"/>
        </w:numPr>
        <w:spacing w:after="80"/>
      </w:pPr>
      <w:r>
        <w:t xml:space="preserve">The outward stereo cameras capture imagery of the wearer’s environment, which will often include identifiable bystanders. Capturing other people’s images without their knowledge is a separate, often more demanding compliance question than gaze data alone.</w:t>
      </w:r>
    </w:p>
    <w:p>
      <w:pPr>
        <w:pBdr>
          <w:left w:val="single" w:color="C00000" w:sz="12" w:space="8"/>
        </w:pBdr>
        <w:spacing w:after="240" w:before="80"/>
        <w:ind w:left="120"/>
      </w:pPr>
      <w:r>
        <w:rPr>
          <w:i/>
          <w:iCs/>
          <w:color w:val="C00000"/>
          <w:sz w:val="21"/>
          <w:szCs w:val="21"/>
        </w:rPr>
        <w:t xml:space="preserve">CHANGE FROM v0.2: the previous draft noted that on-device fusion meant only a processed result left the bridge module, which was offered as a privacy mitigation. Per this revision, that is no longer the case — raw (or lightly compressed) camera frames now stream live off the bridge module to the mainboard for ML processing, since fusion has moved there (Section 3). This is a weaker privacy position than the prior draft described, even though nothing is stored: the wireless link itself now carries live video of the wearer’s surroundings, which is a more sensitive thing to protect (encryption strength, interception risk) and a more direct “capture” event for bystander-privacy purposes than a small fused-coordinate packet.</w:t>
      </w:r>
    </w:p>
    <w:p>
      <w:pPr>
        <w:pStyle w:val="ListParagraph"/>
        <w:numPr>
          <w:ilvl w:val="0"/>
          <w:numId w:val="2"/>
        </w:numPr>
        <w:spacing w:after="80"/>
      </w:pPr>
      <w:r>
        <w:t xml:space="preserve">Recommended: a visible, active recording indicator (the bridge module’s front status LED is a candidate) so bystanders can tell when the outward cameras are active; a DPIA covering both gaze data and bystander imagery, updated to reflect that raw video now travels over the wireless link; and a documented policy confirming that no image data is retained at the mainboard or beyond, since “not stored” is currently a design intent rather than a verified control.</w:t>
      </w:r>
    </w:p>
    <w:p>
      <w:pPr>
        <w:pStyle w:val="ListParagraph"/>
        <w:numPr>
          <w:ilvl w:val="0"/>
          <w:numId w:val="2"/>
        </w:numPr>
        <w:spacing w:after="80"/>
      </w:pPr>
      <w:r>
        <w:t xml:space="preserve">Encryption: the link uses AES-128 (or the final radio’s native equivalent — see the engineering specification, Section 9). Given that raw video now travels over this link, the strength and correct implementation of this encryption matters more than it did under the previous “fused result only” design, and is worth a dedicated security review rather than a general assumption.</w:t>
      </w:r>
    </w:p>
    <w:p>
      <w:pPr>
        <w:pStyle w:val="Heading1"/>
      </w:pPr>
      <w:r>
        <w:t xml:space="preserve">6. Safety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40"/>
        <w:gridCol w:w="3320"/>
      </w:tblGrid>
      <w:tr>
        <w:tc>
          <w:tcPr>
            <w:tcW w:type="dxa" w:w="2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Risk</w:t>
            </w:r>
          </w:p>
        </w:tc>
        <w:tc>
          <w:tcPr>
            <w:tcW w:type="dxa" w:w="3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Current design mitigation</w:t>
            </w:r>
          </w:p>
        </w:tc>
        <w:tc>
          <w:tcPr>
            <w:tcW w:type="dxa" w:w="33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Residual risk / open action</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Battery cannot meet both the runtime and ultra-small-module targets together</w:t>
            </w:r>
          </w:p>
        </w:tc>
        <w:tc>
          <w:tcPr>
            <w:tcW w:type="dxa" w:w="3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Revised 24-hour minimum (down from 48 hours) is achievable via duty-cycling and a split-cell layout across the temple arms; 10-minute fast-charge target remains achievable (see engineering specification, Section 7)</w:t>
            </w:r>
          </w:p>
        </w:tc>
        <w:tc>
          <w:tcPr>
            <w:tcW w:type="dxa" w:w="3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Requires committing to a target active-streaming duty cycle and a multi-cell mechanical layout; neither is finalized yet — needs a decision before audit sign-off</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Battery thermal event during fast charge</w:t>
            </w:r>
          </w:p>
        </w:tc>
        <w:tc>
          <w:tcPr>
            <w:tcW w:type="dxa" w:w="3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LTO-class chemistry tolerates the required 6C charge rate at the cell sizes modelled; splitting into smaller cells (Section 7 of the engineering spec) keeps per-contact current more manageable</w:t>
            </w:r>
          </w:p>
        </w:tc>
        <w:tc>
          <w:tcPr>
            <w:tcW w:type="dxa" w:w="3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Confirm the charge-management IC’s and pogo-pin contacts’ current ratings against the final per-cell size; then validate with cell-level abuse testing</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RF exposure near eyes/face</w:t>
            </w:r>
          </w:p>
        </w:tc>
        <w:tc>
          <w:tcPr>
            <w:tcW w:type="dxa" w:w="3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Default low transmit power when the mainboard is nearby; power only increases when needed</w:t>
            </w:r>
          </w:p>
        </w:tc>
        <w:tc>
          <w:tcPr>
            <w:tcW w:type="dxa" w:w="3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Formal RF exposure assessment not yet performed; radio technology itself is being re-selected for the video link (Wi-Fi-class vs. UWB), which will change the exposure profile to assess</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Live video link interception or compromise</w:t>
            </w:r>
          </w:p>
        </w:tc>
        <w:tc>
          <w:tcPr>
            <w:tcW w:type="dxa" w:w="3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AES-128 (or radio-native equivalent) encryption intended end-to-end</w:t>
            </w:r>
          </w:p>
        </w:tc>
        <w:tc>
          <w:tcPr>
            <w:tcW w:type="dxa" w:w="3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New residual risk in this revision: raw video now travels over the air rather than a small fused result; warrants a dedicated security review of the chosen radio’s encryption implementation</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Continuous near-IR exposure to the eye</w:t>
            </w:r>
          </w:p>
        </w:tc>
        <w:tc>
          <w:tcPr>
            <w:tcW w:type="dxa" w:w="3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940 nm wavelength and low-power emitters, in line with common commercial eye-tracker practice</w:t>
            </w:r>
          </w:p>
        </w:tc>
        <w:tc>
          <w:tcPr>
            <w:tcW w:type="dxa" w:w="3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Requires IEC 62471 / ISO 15004-2 testing; emitters sit closer to, and aim more continuously at, the eye than typical AR-glasses use cases</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Bystander recording without consent</w:t>
            </w:r>
          </w:p>
        </w:tc>
        <w:tc>
          <w:tcPr>
            <w:tcW w:type="dxa" w:w="3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Proposed status indicator LED</w:t>
            </w:r>
          </w:p>
        </w:tc>
        <w:tc>
          <w:tcPr>
            <w:tcW w:type="dxa" w:w="3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Raw video frames now leave the bridge module for ML processing (see Section 5); needs an explicit recording-indicator policy and legal review per target jurisdiction</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Mechanical detachment from glasses</w:t>
            </w:r>
          </w:p>
        </w:tc>
        <w:tc>
          <w:tcPr>
            <w:tcW w:type="dxa" w:w="3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CNC-machined housing direction adopted; attachment method not yet finalized</w:t>
            </w:r>
          </w:p>
        </w:tc>
        <w:tc>
          <w:tcPr>
            <w:tcW w:type="dxa" w:w="3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Define attachment method and run mechanical fatigue testing</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Small-parts / ingress hazard</w:t>
            </w:r>
          </w:p>
        </w:tc>
        <w:tc>
          <w:tcPr>
            <w:tcW w:type="dxa" w:w="3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Sealed enclosure intended</w:t>
            </w:r>
          </w:p>
        </w:tc>
        <w:tc>
          <w:tcPr>
            <w:tcW w:type="dxa" w:w="3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Confirm enclosure design and ingress protection rating</w:t>
            </w:r>
          </w:p>
        </w:tc>
      </w:tr>
    </w:tbl>
    <w:p>
      <w:pPr>
        <w:pStyle w:val="Heading1"/>
      </w:pPr>
      <w:r>
        <w:t xml:space="preserve">7. Security Considerations</w:t>
      </w:r>
    </w:p>
    <w:p>
      <w:pPr>
        <w:pStyle w:val="ListParagraph"/>
        <w:numPr>
          <w:ilvl w:val="0"/>
          <w:numId w:val="2"/>
        </w:numPr>
        <w:spacing w:after="80"/>
      </w:pPr>
      <w:r>
        <w:t xml:space="preserve">Wireless link is encrypted using AES-128.</w:t>
      </w:r>
    </w:p>
    <w:p>
      <w:pPr>
        <w:pStyle w:val="ListParagraph"/>
        <w:numPr>
          <w:ilvl w:val="0"/>
          <w:numId w:val="2"/>
        </w:numPr>
        <w:spacing w:after="80"/>
      </w:pPr>
      <w:r>
        <w:t xml:space="preserve">No firmware-hardcoded keys is a stated design goal; needs implementation and code review to confirm before audit sign-off.</w:t>
      </w:r>
    </w:p>
    <w:p>
      <w:pPr>
        <w:pStyle w:val="ListParagraph"/>
        <w:numPr>
          <w:ilvl w:val="0"/>
          <w:numId w:val="2"/>
        </w:numPr>
        <w:spacing w:after="80"/>
      </w:pPr>
      <w:r>
        <w:t xml:space="preserve">Firmware update path (over-the-air or wired) is not yet defined. A signed-firmware update mechanism is recommended for a body-worn, camera-equipped device.</w:t>
      </w:r>
    </w:p>
    <w:p>
      <w:pPr>
        <w:pStyle w:val="ListParagraph"/>
        <w:numPr>
          <w:ilvl w:val="0"/>
          <w:numId w:val="2"/>
        </w:numPr>
        <w:spacing w:after="80"/>
      </w:pPr>
      <w:r>
        <w:t xml:space="preserve">If any compressed scene imagery or model intermediate output is ever logged or transmitted beyond the fused gaze/object result, that needs separate documentation and review, since it changes the data-protection analysis in Section 5.</w:t>
      </w:r>
    </w:p>
    <w:p>
      <w:pPr>
        <w:pStyle w:val="Heading1"/>
      </w:pPr>
      <w:r>
        <w:t xml:space="preserve">8. Quality &amp; Reliability Notes</w:t>
      </w:r>
    </w:p>
    <w:p>
      <w:pPr>
        <w:spacing w:after="160"/>
      </w:pPr>
      <w:r>
        <w:t xml:space="preserve">Headline claims, per the engineering specification’s v0.4 recalculation:</w:t>
      </w:r>
    </w:p>
    <w:p>
      <w:pPr>
        <w:pStyle w:val="ListParagraph"/>
        <w:numPr>
          <w:ilvl w:val="0"/>
          <w:numId w:val="2"/>
        </w:numPr>
        <w:spacing w:after="80"/>
      </w:pPr>
      <w:r>
        <w:t xml:space="preserve">24-hour runtime per charge (revised down from the original 48-hour target) — achievable via an event/gaze-triggered duty cycle and a battery split across the temple arms rather than concentrated at the bridge. The exact duty cycle and cell layout are not yet finalized; treat the 24-hour figure as achievable-in-principle, not yet validated on hardware.</w:t>
      </w:r>
    </w:p>
    <w:p>
      <w:pPr>
        <w:pStyle w:val="ListParagraph"/>
        <w:numPr>
          <w:ilvl w:val="0"/>
          <w:numId w:val="2"/>
        </w:numPr>
        <w:spacing w:after="80"/>
      </w:pPr>
      <w:r>
        <w:t xml:space="preserve">≤10-minute full recharge — remains technically achievable with LTO chemistry, and is easier to validate with a split multi-cell layout (lower current per contact) than a single larger cell.</w:t>
      </w:r>
    </w:p>
    <w:p>
      <w:pPr>
        <w:pStyle w:val="ListParagraph"/>
        <w:numPr>
          <w:ilvl w:val="0"/>
          <w:numId w:val="2"/>
        </w:numPr>
        <w:spacing w:after="80"/>
      </w:pPr>
      <w:r>
        <w:t xml:space="preserve">Alternative battery chemistries (silicon-anode, solid-state thin-film) are being tracked as potential future improvements to cell size and/or safety, but are not the primary path to the 24-hour target — see the engineering specification, Section 7.7–7.8, for the comparison and rationale.</w:t>
      </w:r>
    </w:p>
    <w:p>
      <w:pPr>
        <w:spacing w:after="160"/>
      </w:pPr>
      <w:r>
        <w:t xml:space="preserve">Recommended test plan: battery cycle-life testing once the cell(s) are finalized, real-world RF range testing across representative home layouts for whichever radio technology is chosen, near-IR eye-safety testing for the gaze array, and everyday-wear environmental testing (moisture/sweat exposure, drop testing for the bridge module).</w:t>
      </w:r>
    </w:p>
    <w:p>
      <w:pPr>
        <w:pStyle w:val="Heading1"/>
      </w:pPr>
      <w:r>
        <w:t xml:space="preserve">9. Open Items Before Audit Sign-Off</w:t>
      </w:r>
    </w:p>
    <w:p>
      <w:pPr>
        <w:pStyle w:val="ListParagraph"/>
        <w:numPr>
          <w:ilvl w:val="0"/>
          <w:numId w:val="2"/>
        </w:numPr>
        <w:spacing w:after="80"/>
      </w:pPr>
      <w:r>
        <w:t xml:space="preserve">Formally define the intended-use statement — now more consequential given both the outward-facing cameras and the live-streaming pipeline.</w:t>
      </w:r>
    </w:p>
    <w:p>
      <w:pPr>
        <w:pStyle w:val="ListParagraph"/>
        <w:numPr>
          <w:ilvl w:val="0"/>
          <w:numId w:val="2"/>
        </w:numPr>
        <w:spacing w:after="80"/>
      </w:pPr>
      <w:r>
        <w:t xml:space="preserve">Decide and commit to a target active-streaming duty cycle and a final multi-cell mechanical layout (per the engineering specification) before publishing the 24-hour runtime claim externally.</w:t>
      </w:r>
    </w:p>
    <w:p>
      <w:pPr>
        <w:pStyle w:val="ListParagraph"/>
        <w:numPr>
          <w:ilvl w:val="0"/>
          <w:numId w:val="2"/>
        </w:numPr>
        <w:spacing w:after="80"/>
      </w:pPr>
      <w:r>
        <w:t xml:space="preserve">Complete a DPIA covering gaze biometric data, bystander camera capture, and the fact that raw video now travels over the wireless link to the mainboard.</w:t>
      </w:r>
    </w:p>
    <w:p>
      <w:pPr>
        <w:pStyle w:val="ListParagraph"/>
        <w:numPr>
          <w:ilvl w:val="0"/>
          <w:numId w:val="2"/>
        </w:numPr>
        <w:spacing w:after="80"/>
      </w:pPr>
      <w:r>
        <w:t xml:space="preserve">Confirm the streaming-architecture assumption in the engineering specification (Section 1 there) — specifically, whether eye-tracking is also intended to become camera-based, which would add further privacy and eye-safety considerations beyond what is covered here.</w:t>
      </w:r>
    </w:p>
    <w:p>
      <w:pPr>
        <w:pStyle w:val="ListParagraph"/>
        <w:numPr>
          <w:ilvl w:val="0"/>
          <w:numId w:val="2"/>
        </w:numPr>
        <w:spacing w:after="80"/>
      </w:pPr>
      <w:r>
        <w:t xml:space="preserve">Commission IEC 62471 / ISO 15004-2 near-infrared eye-safety testing for the gaze-array LEDs.</w:t>
      </w:r>
    </w:p>
    <w:p>
      <w:pPr>
        <w:pStyle w:val="ListParagraph"/>
        <w:numPr>
          <w:ilvl w:val="0"/>
          <w:numId w:val="2"/>
        </w:numPr>
        <w:spacing w:after="80"/>
      </w:pPr>
      <w:r>
        <w:t xml:space="preserve">Commission RF emissions/exposure and battery safety testing once a working prototype exists, for whichever radio technology (Wi-Fi-class vs. UWB) is ultimately chosen.</w:t>
      </w:r>
    </w:p>
    <w:p>
      <w:pPr>
        <w:pStyle w:val="ListParagraph"/>
        <w:numPr>
          <w:ilvl w:val="0"/>
          <w:numId w:val="2"/>
        </w:numPr>
        <w:spacing w:after="80"/>
      </w:pPr>
      <w:r>
        <w:t xml:space="preserve">Decide and document a bystander-notification approach (e.g. a recording indicator) and review it against applicable recording/consent law per target market.</w:t>
      </w:r>
    </w:p>
    <w:p>
      <w:pPr>
        <w:pStyle w:val="ListParagraph"/>
        <w:numPr>
          <w:ilvl w:val="0"/>
          <w:numId w:val="2"/>
        </w:numPr>
        <w:spacing w:after="80"/>
      </w:pPr>
      <w:r>
        <w:t xml:space="preserve">Define and implement the firmware key-management and update-signing approach, and commission a dedicated security review of the live video link’s encryption.</w:t>
      </w:r>
    </w:p>
    <w:p>
      <w:pPr>
        <w:pStyle w:val="Heading1"/>
      </w:pPr>
      <w: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80"/>
        <w:gridCol w:w="3280"/>
      </w:tblGrid>
      <w:tr>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Version</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Date</w:t>
            </w:r>
          </w:p>
        </w:tc>
        <w:tc>
          <w:tcPr>
            <w:tcW w:type="dxa" w:w="28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Author</w:t>
            </w:r>
          </w:p>
        </w:tc>
        <w:tc>
          <w:tcPr>
            <w:tcW w:type="dxa" w:w="32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Change description</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v0.1</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19 June 2026</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[Name]</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Initial draft for internal audit review (as “ReArm Snap’n’Track”)</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v0.2</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26 June 2026</w:t>
            </w:r>
          </w:p>
        </w:tc>
        <w:tc>
          <w:tcPr>
            <w:tcW w:type="dxa" w:w="28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[Name]</w:t>
            </w:r>
          </w:p>
        </w:tc>
        <w:tc>
          <w:tcPr>
            <w:tcW w:type="dxa" w:w="32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Renamed product to Candour; architecture updated to add outward-facing stereo cameras and a binocular flat-IR gaze array; added camera-related privacy/regulatory considerations and a near-IR eye-safety risk</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v0.3</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26 June 2026</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Shemaiah Osuchukwu</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Renamed product to ReArm Candor; architecture updated so front camera images stream live to an ML pipeline with no on-device storage; recalculated power budget shows the 48-hour runtime target is not achievable at this module size, while the 10-minute fast-charge target remains achievable; added live-video-link privacy/security considerations</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v0.4</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26 June 2026</w:t>
            </w:r>
          </w:p>
        </w:tc>
        <w:tc>
          <w:tcPr>
            <w:tcW w:type="dxa" w:w="28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Shemaiah Osuchukwu</w:t>
            </w:r>
          </w:p>
        </w:tc>
        <w:tc>
          <w:tcPr>
            <w:tcW w:type="dxa" w:w="32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Runtime target revised to a 24-hour minimum; added a gyroscope (6-axis IMU) for head pitch/yaw/roll; added energy-saving levers, a duty-cycle-vs-capacity analysis, a split-cell temple-arm structural recommendation, and a battery chemistry comparison including silicon-anode and solid-state options</w:t>
            </w:r>
          </w:p>
        </w:tc>
      </w:tr>
    </w:tbl>
    <w:p>
      <w:pPr>
        <w:pStyle w:val="Heading1"/>
      </w:pPr>
      <w:r>
        <w:t xml:space="preserve">11. Approval</w:t>
      </w:r>
    </w:p>
    <w:p>
      <w:pPr>
        <w:tabs>
          <w:tab w:val="left" w:pos="4513"/>
        </w:tabs>
        <w:spacing w:after="360"/>
      </w:pPr>
      <w:r>
        <w:rPr>
          <w:b/>
          <w:bCs/>
        </w:rPr>
        <w:t xml:space="preserve">Prepared by:</w:t>
      </w:r>
      <w:r>
        <w:t xml:space="preserve">  ___________________________</w:t>
      </w:r>
      <w:r>
        <w:t xml:space="preserve">	Date:  ___________________</w:t>
      </w:r>
    </w:p>
    <w:p>
      <w:pPr>
        <w:tabs>
          <w:tab w:val="left" w:pos="4513"/>
        </w:tabs>
        <w:spacing w:after="360"/>
      </w:pPr>
      <w:r>
        <w:rPr>
          <w:b/>
          <w:bCs/>
        </w:rPr>
        <w:t xml:space="preserve">Reviewed by (technical):</w:t>
      </w:r>
      <w:r>
        <w:t xml:space="preserve">  ___________________________</w:t>
      </w:r>
      <w:r>
        <w:t xml:space="preserve">	Date:  ___________________</w:t>
      </w:r>
    </w:p>
    <w:p>
      <w:pPr>
        <w:tabs>
          <w:tab w:val="left" w:pos="4513"/>
        </w:tabs>
        <w:spacing w:after="360"/>
      </w:pPr>
      <w:r>
        <w:rPr>
          <w:b/>
          <w:bCs/>
        </w:rPr>
        <w:t xml:space="preserve">Reviewed by (compliance/legal):</w:t>
      </w:r>
      <w:r>
        <w:t xml:space="preserve">  ___________________________</w:t>
      </w:r>
      <w:r>
        <w:t xml:space="preserve">	Date:  ___________________</w:t>
      </w:r>
    </w:p>
    <w:p>
      <w:pPr>
        <w:tabs>
          <w:tab w:val="left" w:pos="4513"/>
        </w:tabs>
        <w:spacing w:after="360"/>
      </w:pPr>
      <w:r>
        <w:rPr>
          <w:b/>
          <w:bCs/>
        </w:rPr>
        <w:t xml:space="preserve">Approved by:</w:t>
      </w:r>
      <w:r>
        <w:t xml:space="preserve">  ___________________________</w:t>
      </w:r>
      <w:r>
        <w:t xml:space="preserve">	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6"/>
        <w:szCs w:val="16"/>
      </w:rPr>
      <w:t xml:space="preserve">ReArm Candor — Product &amp; Compliance Specification — RAC-SPEC-001 v0.4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F3864"/>
      <w:sz w:val="56"/>
      <w:szCs w:val="56"/>
    </w:rPr>
  </w:style>
  <w:style w:type="paragraph" w:styleId="Heading1">
    <w:name w:val="Heading 1"/>
    <w:basedOn w:val="Normal"/>
    <w:next w:val="Normal"/>
    <w:qFormat/>
    <w:pPr>
      <w:pBdr>
        <w:bottom w:val="single" w:color="2E75B6" w:sz="6" w:space="4"/>
      </w:pBd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2026-06-26T08:00:01.981Z</dcterms:created>
  <dcterms:modified xsi:type="dcterms:W3CDTF">2026-06-26T08:00:01.981Z</dcterms:modified>
</cp:coreProperties>
</file>

<file path=docProps/custom.xml><?xml version="1.0" encoding="utf-8"?>
<Properties xmlns="http://schemas.openxmlformats.org/officeDocument/2006/custom-properties" xmlns:vt="http://schemas.openxmlformats.org/officeDocument/2006/docPropsVTypes"/>
</file>