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Product &amp; Compliance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Product &amp; Compliance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Document 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RAC-SPEC-001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v0.6 (supersedes v0.5)</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Classification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Pre-Certification Draft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Prepared by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Date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for internal audit review — not a certified compliance report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audit / compliance stakeholders</w:t>
            </w:r>
          </w:p>
        </w:tc>
      </w:tr>
    </w:tbl>
    <w:p>
      <w:r>
        <w:br w:type="page"/>
      </w:r>
    </w:p>
    <w:p>
      <w:pPr>
        <w:pStyle w:val="Heading1"/>
      </w:pPr>
      <w:r>
        <w:t xml:space="preserve">1. Purpose &amp; Scope</w:t>
      </w:r>
    </w:p>
    <w:p>
      <w:pPr>
        <w:spacing w:after="160"/>
      </w:pPr>
      <w:r>
        <w:t xml:space="preserve">This document summarizes the ReArm Candor product concept, system architecture, and known compliance, safety, and data-protection considerations, to support internal audit and pre-certification review.</w:t>
      </w:r>
    </w:p>
    <w:p>
      <w:pPr>
        <w:pBdr>
          <w:left w:val="single" w:color="2E7D32" w:sz="12" w:space="8"/>
        </w:pBdr>
        <w:spacing w:after="240" w:before="80"/>
        <w:ind w:left="120"/>
      </w:pPr>
      <w:r>
        <w:rPr>
          <w:i/>
          <w:iCs/>
          <w:color w:val="2E7D32"/>
          <w:sz w:val="21"/>
          <w:szCs w:val="21"/>
        </w:rPr>
        <w:t xml:space="preserve">MAJOR RE-SCOPE IN THIS REVISION: the product is now defined as a peripheral input device for a host robotic system (for example, a gaze-controlled robot dog), not a standalone camera-equipped wearable. It has no cameras and performs no image capture of the wearer’s environment — that is the host robot’s function, using its own sensors. This removes nearly all of the camera-related privacy and regulatory burden from v0.3–v0.5 (Sections 4–6). It also introduces a consideration this product hasn’t had before: it is now a safety-relevant control input for a physical robot.</w:t>
      </w:r>
    </w:p>
    <w:p>
      <w:pPr>
        <w:pBdr>
          <w:left w:val="single" w:color="C00000" w:sz="12" w:space="8"/>
        </w:pBdr>
        <w:spacing w:after="240" w:before="80"/>
        <w:ind w:left="120"/>
      </w:pPr>
      <w:r>
        <w:rPr>
          <w:i/>
          <w:iCs/>
          <w:color w:val="C00000"/>
          <w:sz w:val="21"/>
          <w:szCs w:val="21"/>
        </w:rPr>
        <w:t xml:space="preserve">This remains a planning and review document, not a certified compliance report. Formal regulatory testing, legal review, and sign-off by accredited test houses and qualified counsel are required before market release. The regulatory relief described above is contingent on the no-camera scope staying final — confirm that before relying on it.</w:t>
      </w:r>
    </w:p>
    <w:p>
      <w:pPr>
        <w:pStyle w:val="Heading1"/>
      </w:pPr>
      <w:r>
        <w:t xml:space="preserve">2. Product Description &amp; Intended Use</w:t>
      </w:r>
    </w:p>
    <w:p>
      <w:pPr>
        <w:spacing w:after="160"/>
      </w:pPr>
      <w:r>
        <w:t xml:space="preserve">ReArm Candor is a gaze/head-orientation peripheral worn on prescription or cosmetic glasses, used to control a host robotic system by continuously reporting three things: head orientation, gaze direction, and gaze depth/range. It has no cameras and captures no imagery of the wearer’s surroundings.</w:t>
      </w:r>
    </w:p>
    <w:p>
      <w:pPr>
        <w:spacing w:after="160"/>
      </w:pPr>
      <w:r>
        <w:t xml:space="preserve">Components:</w:t>
      </w:r>
    </w:p>
    <w:p>
      <w:pPr>
        <w:pStyle w:val="ListParagraph"/>
        <w:numPr>
          <w:ilvl w:val="0"/>
          <w:numId w:val="2"/>
        </w:numPr>
        <w:spacing w:after="80"/>
      </w:pPr>
      <w:r>
        <w:t xml:space="preserve">Bridge module — rear binocular IR gaze array, 6-axis IMU with gyroscope, lightweight MCU, low-power radio.</w:t>
      </w:r>
    </w:p>
    <w:p>
      <w:pPr>
        <w:pStyle w:val="ListParagraph"/>
        <w:numPr>
          <w:ilvl w:val="0"/>
          <w:numId w:val="2"/>
        </w:numPr>
        <w:spacing w:after="80"/>
      </w:pPr>
      <w:r>
        <w:t xml:space="preserve">Host robotic system (e.g. a robot dog) — receives the bridge module’s packet and uses its own cameras/sensors to act on it. Not supplied by, or necessarily under the control of, this specification — confirm the division of responsibility and liability with whoever builds the host platform.</w:t>
      </w:r>
    </w:p>
    <w:p>
      <w:pPr>
        <w:pStyle w:val="ListParagraph"/>
        <w:numPr>
          <w:ilvl w:val="0"/>
          <w:numId w:val="2"/>
        </w:numPr>
        <w:spacing w:after="80"/>
      </w:pPr>
      <w:r>
        <w:t xml:space="preserve">Charging case accessory — fast and ambient charging for the bridge module.</w:t>
      </w:r>
    </w:p>
    <w:p>
      <w:pPr>
        <w:pBdr>
          <w:left w:val="single" w:color="C00000" w:sz="12" w:space="8"/>
        </w:pBdr>
        <w:spacing w:after="240" w:before="80"/>
        <w:ind w:left="120"/>
      </w:pPr>
      <w:r>
        <w:rPr>
          <w:i/>
          <w:iCs/>
          <w:color w:val="C00000"/>
          <w:sz w:val="21"/>
          <w:szCs w:val="21"/>
        </w:rPr>
        <w:t xml:space="preserve">Intended use should be formally documented as a control accessory for a specified host robotic system, not a general-purpose wearable — this materially affects which regulatory frameworks apply (Section 4) and shifts some safety responsibility to the boundary between this device and the host robot (Section 6).</w:t>
      </w:r>
    </w:p>
    <w:p>
      <w:pPr>
        <w:pStyle w:val="Heading1"/>
      </w:pPr>
      <w:r>
        <w:t xml:space="preserve">3.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Computes and sends head orientation, gaze direction, and gaze depth/range, continuously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 cameras; no image capture of any kind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Host robotic system</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Receives the packet; uses its own sensors for scene understanding and acts on the gaze data</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Outside this document’s direct control — confirm responsibility boundary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Charging case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Houses charging electronics for the bridge module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Accessory item, not part of the active data path</w:t>
            </w:r>
          </w:p>
        </w:tc>
      </w:tr>
    </w:tbl>
    <w:p>
      <w:pPr>
        <w:spacing w:after="160"/>
      </w:pPr>
      <w:r>
        <w:t xml:space="preserve">Design intent: the bridge module sends only its own wearer’s gaze direction, gaze depth/range, and head orientation — no third-party image or audio data of any kind, since there are no cameras or microphones in this design.</w:t>
      </w:r>
    </w:p>
    <w:p>
      <w:pPr>
        <w:pStyle w:val="Heading1"/>
      </w:pPr>
      <w:r>
        <w:t xml:space="preserve">4. Regulatory &amp; Standards Considerations</w:t>
      </w:r>
    </w:p>
    <w:p>
      <w:pPr>
        <w:spacing w:after="160"/>
      </w:pPr>
      <w:r>
        <w:t xml:space="preserve">The table below identifies frameworks that are likely relevant given the product description. It is a starting point for due diligence, not a determination of applicability 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Area</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Likely applicable framework</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Why it matters</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Radio emissions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UK: Radio Equipment Regs / UKCA; EU: RED / CE; US: FCC Part 15</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The 2.4 GHz radio is an intentional radiator and typically needs type approval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RF exposure near the body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ICNIRP guidelines / SAR-style assessment</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Device is worn on the head; near-body exposure limits can apply even at low transmit power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 now an even lower-power radio than prior revisions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safety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IEC 62133-2 (cell/pack safety); UN 38.3 (transport)</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Fast-charge battery worn close to the face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 target capacity is now much smaller (≈220–330 mAh) than v0.3–v0.5</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Optical / IR eye safety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IEC 62471; ISO 15004-2 (ophthalmic instruments)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Two to four 940 nm IR LEDs per eye sit close to and continuously illuminate the eye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Electrical / thermal safety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IEC 62368-1 (or IEC 60950-1 legacy)</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General consumer product electrical safety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Materials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RoHS; REACH</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Standard requirement for electronics sold in the UK/EU</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End-of-life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WEEE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Producer take-back and labelling obligations for electronic accessories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Data protection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UK GDPR / EU GDPR</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Narrowed in this revision to the wearer’s own gaze/orientation data only — no bystander imagery, since there are no cameras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See Section 5</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Functional safety of the robot-control interaction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 single off-the-shelf framework; assess against relevant machinery/robotics safety standards for the host platform (e.g. ISO 13482-family practice for personal care/service robots, or the host robot manufacturer’s own safety case)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This device is now a control input for a robot that can physically act in the world — a lost, delayed, or incorrect signal could cause unintended robot behaviour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 — new in this revision; see Section 6</w:t>
            </w:r>
          </w:p>
        </w:tc>
      </w:tr>
    </w:tbl>
    <w:p>
      <w:pPr>
        <w:pBdr>
          <w:left w:val="single" w:color="2E7D32" w:sz="12" w:space="8"/>
        </w:pBdr>
        <w:spacing w:after="240" w:before="80"/>
        <w:ind w:left="120"/>
      </w:pPr>
      <w:r>
        <w:rPr>
          <w:i/>
          <w:iCs/>
          <w:color w:val="2E7D32"/>
          <w:sz w:val="21"/>
          <w:szCs w:val="21"/>
        </w:rPr>
        <w:t xml:space="preserve">REMOVED IN THIS REVISION: the v0.3–v0.5 “recording-device / surveillance rules” row no longer applies — there are no cameras, so there is no bystander image or audio capture of any kind.</w:t>
      </w:r>
    </w:p>
    <w:p>
      <w:pPr>
        <w:pBdr>
          <w:left w:val="single" w:color="C00000" w:sz="12" w:space="8"/>
        </w:pBdr>
        <w:spacing w:after="240" w:before="80"/>
        <w:ind w:left="120"/>
      </w:pPr>
      <w:r>
        <w:rPr>
          <w:i/>
          <w:iCs/>
          <w:color w:val="C00000"/>
          <w:sz w:val="21"/>
          <w:szCs w:val="21"/>
        </w:rPr>
        <w:t xml:space="preserve">Engage an accredited test lab and qualified legal counsel to confirm which obligations actually apply, including how the functional-safety question is best framed for the specific host robot platform.</w:t>
      </w:r>
    </w:p>
    <w:p>
      <w:pPr>
        <w:pStyle w:val="Heading1"/>
      </w:pPr>
      <w:r>
        <w:t xml:space="preserve">5. Data Privacy &amp; Biometric Data Considerations</w:t>
      </w:r>
    </w:p>
    <w:p>
      <w:pPr>
        <w:pStyle w:val="ListParagraph"/>
        <w:numPr>
          <w:ilvl w:val="0"/>
          <w:numId w:val="2"/>
        </w:numPr>
        <w:spacing w:after="80"/>
      </w:pPr>
      <w:r>
        <w:t xml:space="preserve">Gaze direction, gaze depth, and head orientation are all derived from the wearer’s own body and may be treated as biometric data under data protection law in some regimes, regardless of whether any bystander is involved.</w:t>
      </w:r>
    </w:p>
    <w:p>
      <w:pPr>
        <w:pStyle w:val="ListParagraph"/>
        <w:numPr>
          <w:ilvl w:val="0"/>
          <w:numId w:val="2"/>
        </w:numPr>
        <w:spacing w:after="80"/>
      </w:pPr>
      <w:r>
        <w:t xml:space="preserve">Unlike v0.3–v0.5, there is no bystander imagery at all in this design — no cameras, no microphones, no capture of third parties. This substantially narrows the privacy analysis to a single question: the legal basis and purpose limitation for processing the wearer’s own biometric control data.</w:t>
      </w:r>
    </w:p>
    <w:p>
      <w:pPr>
        <w:pBdr>
          <w:left w:val="single" w:color="2E7D32" w:sz="12" w:space="8"/>
        </w:pBdr>
        <w:spacing w:after="240" w:before="80"/>
        <w:ind w:left="120"/>
      </w:pPr>
      <w:r>
        <w:rPr>
          <w:i/>
          <w:iCs/>
          <w:color w:val="2E7D32"/>
          <w:sz w:val="21"/>
          <w:szCs w:val="21"/>
        </w:rPr>
        <w:t xml:space="preserve">This is a meaningfully simpler privacy position than any prior revision: a full bystander-focused DPIA is no longer needed, since there is no third-party data capture of any kind.</w:t>
      </w:r>
    </w:p>
    <w:p>
      <w:pPr>
        <w:pStyle w:val="ListParagraph"/>
        <w:numPr>
          <w:ilvl w:val="0"/>
          <w:numId w:val="2"/>
        </w:numPr>
        <w:spacing w:after="80"/>
      </w:pPr>
      <w:r>
        <w:t xml:space="preserve">Recommended: confirm the legal basis for processing the wearer’s own gaze/orientation data for the stated control purpose (most likely a straightforward case, since it is the wearer’s own data used to control their own device), and document a data-minimization and retention policy — e.g. don’t log historical gaze data beyond what’s operationally needed, unless there’s a specific reason to (such as model training, which would need its own consent/justification).</w:t>
      </w:r>
    </w:p>
    <w:p>
      <w:pPr>
        <w:pStyle w:val="ListParagraph"/>
        <w:numPr>
          <w:ilvl w:val="0"/>
          <w:numId w:val="2"/>
        </w:numPr>
        <w:spacing w:after="80"/>
      </w:pPr>
      <w:r>
        <w:t xml:space="preserve">Encryption: the link carries one small control packet (head orientation, gaze direction, depth/range). AES-128 key-provisioning (on-chip TRNG-generated session keys vs. a static shared key) still needs to be finalized and verified in code review.</w:t>
      </w:r>
    </w:p>
    <w:p>
      <w:pPr>
        <w:pStyle w:val="Heading1"/>
      </w:pPr>
      <w:r>
        <w:t xml:space="preserve">6. Safety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40"/>
        <w:gridCol w:w="332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Risk</w:t>
            </w:r>
          </w:p>
        </w:tc>
        <w:tc>
          <w:tcPr>
            <w:tcW w:type="dxa" w:w="3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Current design mitigation</w:t>
            </w:r>
          </w:p>
        </w:tc>
        <w:tc>
          <w:tcPr>
            <w:tcW w:type="dxa" w:w="3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Residual risk / open action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thermal event during fast charge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LTO-class chemistry tolerates the required 6C charge rate; target capacity is now much smaller (≈220–330 mAh) than prior revisions, which lowers absolute charge currents</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Confirm the charge-management IC’s and pogo-pin contacts’ current ratings against the final cell size; then validate with cell-level abuse testing</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RF exposure near eyes/face</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Default low transmit power; radio power draw is now lower than any prior revision (≈8 mW)</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Formal RF exposure assessment not yet performed</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Continuous near-IR exposure to the eye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wavelength and low-power emitters, in line with common commercial eye-tracker practice</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Requires IEC 62471 / ISO 15004-2 testing; emitters sit closer to, and aim more continuously at, the eye than typical AR-glasses use cases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Robot control failure from a lost or corrupted gaze signal</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Low-latency, encrypted radio link (ESB protocol, engineering specification Section 7)</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risk in this revision: needs an explicit fail-safe behaviour defined for the host robot (e.g. default to a safe stop/hold state on signal loss or an implausible reading), and functional-safety testing given the robot can physically act in the world</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Control latency causing inaccurate or unsafe robot response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ESB protocol chosen specifically to minimize latency versus standard BLE</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Needs end-to-end latency measurement under real conditions (distance, RF interference) before relying on it for any safety-relevant robot behaviour</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Malicious or spoofed control signal injection</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AES-128 encryption intended end-to-end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risk in this revision — since this is now a control signal for a physical robot, not passive telemetry, a compromised link could inject false commands; recommend authenticated pairing (the robot only accepts commands from a known, paired bridge module) and replay protection (sequence numbers/nonces), not encryption alone</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Mechanical detachment from glasses</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CNC-machined housing direction adopted; attachment method not yet finalized</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Define attachment method and run mechanical fatigue testing</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Small-parts / ingress hazard</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Sealed enclosure intended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enclosure design and ingress protection rating</w:t>
            </w:r>
          </w:p>
        </w:tc>
      </w:tr>
    </w:tbl>
    <w:p>
      <w:pPr>
        <w:pBdr>
          <w:left w:val="single" w:color="2E7D32" w:sz="12" w:space="8"/>
        </w:pBdr>
        <w:spacing w:after="240" w:before="80"/>
        <w:ind w:left="120"/>
      </w:pPr>
      <w:r>
        <w:rPr>
          <w:i/>
          <w:iCs/>
          <w:color w:val="2E7D32"/>
          <w:sz w:val="21"/>
          <w:szCs w:val="21"/>
        </w:rPr>
        <w:t xml:space="preserve">REMOVED IN THIS REVISION: the v0.3–v0.5 bystander image-capture risk no longer applies — there are no cameras.</w:t>
      </w:r>
    </w:p>
    <w:p>
      <w:pPr>
        <w:pStyle w:val="Heading1"/>
      </w:pPr>
      <w:r>
        <w:t xml:space="preserve">7. Security Considerations</w:t>
      </w:r>
    </w:p>
    <w:p>
      <w:pPr>
        <w:pStyle w:val="ListParagraph"/>
        <w:numPr>
          <w:ilvl w:val="0"/>
          <w:numId w:val="2"/>
        </w:numPr>
        <w:spacing w:after="80"/>
      </w:pPr>
      <w:r>
        <w:t xml:space="preserve">Wireless link is encrypted using AES-128 (or the radio’s native equivalent).</w:t>
      </w:r>
    </w:p>
    <w:p>
      <w:pPr>
        <w:pStyle w:val="ListParagraph"/>
        <w:numPr>
          <w:ilvl w:val="0"/>
          <w:numId w:val="2"/>
        </w:numPr>
        <w:spacing w:after="80"/>
      </w:pPr>
      <w:r>
        <w:t xml:space="preserve">Because this link now carries a control command for a physical robot rather than passive telemetry or logging data, encryption alone is not sufficient — recommend authenticated pairing so the robot only accepts commands from a known, paired bridge module, plus replay-attack protection (sequence numbers or nonces) so a captured packet can’t be re-sent to trigger unwanted behaviour.</w:t>
      </w:r>
    </w:p>
    <w:p>
      <w:pPr>
        <w:pStyle w:val="ListParagraph"/>
        <w:numPr>
          <w:ilvl w:val="0"/>
          <w:numId w:val="2"/>
        </w:numPr>
        <w:spacing w:after="80"/>
      </w:pPr>
      <w:r>
        <w:t xml:space="preserve">No firmware-hardcoded keys is a stated design goal; needs implementation and code review to confirm before audit sign-off.</w:t>
      </w:r>
    </w:p>
    <w:p>
      <w:pPr>
        <w:pStyle w:val="ListParagraph"/>
        <w:numPr>
          <w:ilvl w:val="0"/>
          <w:numId w:val="2"/>
        </w:numPr>
        <w:spacing w:after="80"/>
      </w:pPr>
      <w:r>
        <w:t xml:space="preserve">Firmware update path (over-the-air or wired) is not yet defined. A signed-firmware update mechanism is recommended for a body-worn device that issues commands to a robot.</w:t>
      </w:r>
    </w:p>
    <w:p>
      <w:pPr>
        <w:pStyle w:val="Heading1"/>
      </w:pPr>
      <w:r>
        <w:t xml:space="preserve">8. Quality &amp; Reliability Notes</w:t>
      </w:r>
    </w:p>
    <w:p>
      <w:pPr>
        <w:spacing w:after="160"/>
      </w:pPr>
      <w:r>
        <w:t xml:space="preserve">Headline claims, per the engineering specification’s v0.6 recalculation:</w:t>
      </w:r>
    </w:p>
    <w:p>
      <w:pPr>
        <w:pStyle w:val="ListParagraph"/>
        <w:numPr>
          <w:ilvl w:val="0"/>
          <w:numId w:val="2"/>
        </w:numPr>
        <w:spacing w:after="80"/>
      </w:pPr>
      <w:r>
        <w:t xml:space="preserve">24-hour continuous operation — now achievable as a straightforward continuous-power calculation, not a duty-cycle negotiation, at a target capacity of roughly 220–330 mAh. This is a meaningfully more comfortable position than any prior revision.</w:t>
      </w:r>
    </w:p>
    <w:p>
      <w:pPr>
        <w:pStyle w:val="ListParagraph"/>
        <w:numPr>
          <w:ilvl w:val="0"/>
          <w:numId w:val="2"/>
        </w:numPr>
        <w:spacing w:after="80"/>
      </w:pPr>
      <w:r>
        <w:t xml:space="preserve">≤10-minute full recharge — remains technically achievable with LTO chemistry, and easier to validate at this smaller target capacity than in v0.3–v0.5.</w:t>
      </w:r>
    </w:p>
    <w:p>
      <w:pPr>
        <w:spacing w:after="160"/>
      </w:pPr>
      <w:r>
        <w:t xml:space="preserve">New reliability requirement in this revision: end-to-end control-latency testing and host-robot fail-safe behaviour testing (signal loss, implausible readings) — since this device’s output now drives physical robot behaviour, these are now safety-relevant tests, not just user-experience ones.</w:t>
      </w:r>
    </w:p>
    <w:p>
      <w:pPr>
        <w:spacing w:after="160"/>
      </w:pPr>
      <w:r>
        <w:t xml:space="preserve">Recommended test plan: battery cycle-life testing once the cell is finalized, RF range and latency testing under real conditions, near-IR eye-safety testing for the gaze array, host-robot fail-safe behaviour testing, and everyday-wear environmental testing (moisture/sweat exposure, drop testing for the bridge module).</w:t>
      </w:r>
    </w:p>
    <w:p>
      <w:pPr>
        <w:pStyle w:val="Heading1"/>
      </w:pPr>
      <w:r>
        <w:t xml:space="preserve">9. Open Items Before Audit Sign-Off</w:t>
      </w:r>
    </w:p>
    <w:p>
      <w:pPr>
        <w:pStyle w:val="ListParagraph"/>
        <w:numPr>
          <w:ilvl w:val="0"/>
          <w:numId w:val="2"/>
        </w:numPr>
        <w:spacing w:after="80"/>
      </w:pPr>
      <w:r>
        <w:t xml:space="preserve">Confirm the no-camera scope is final — it is the basis for most of the regulatory relief in Section 4.</w:t>
      </w:r>
    </w:p>
    <w:p>
      <w:pPr>
        <w:pStyle w:val="ListParagraph"/>
        <w:numPr>
          <w:ilvl w:val="0"/>
          <w:numId w:val="2"/>
        </w:numPr>
        <w:spacing w:after="80"/>
      </w:pPr>
      <w:r>
        <w:t xml:space="preserve">Confirm the legal basis for processing the wearer’s own gaze/orientation biometric data for the stated control purpose, and document a retention policy.</w:t>
      </w:r>
    </w:p>
    <w:p>
      <w:pPr>
        <w:pStyle w:val="ListParagraph"/>
        <w:numPr>
          <w:ilvl w:val="0"/>
          <w:numId w:val="2"/>
        </w:numPr>
        <w:spacing w:after="80"/>
      </w:pPr>
      <w:r>
        <w:t xml:space="preserve">Define and test the host robot’s fail-safe behaviour on signal loss or an implausible reading.</w:t>
      </w:r>
    </w:p>
    <w:p>
      <w:pPr>
        <w:pStyle w:val="ListParagraph"/>
        <w:numPr>
          <w:ilvl w:val="0"/>
          <w:numId w:val="2"/>
        </w:numPr>
        <w:spacing w:after="80"/>
      </w:pPr>
      <w:r>
        <w:t xml:space="preserve">Implement and test authenticated pairing and replay protection for the control link, given the new command-injection risk.</w:t>
      </w:r>
    </w:p>
    <w:p>
      <w:pPr>
        <w:pStyle w:val="ListParagraph"/>
        <w:numPr>
          <w:ilvl w:val="0"/>
          <w:numId w:val="2"/>
        </w:numPr>
        <w:spacing w:after="80"/>
      </w:pPr>
      <w:r>
        <w:t xml:space="preserve">Commission IEC 62471 / ISO 15004-2 near-infrared eye-safety testing for the gaze-array LEDs.</w:t>
      </w:r>
    </w:p>
    <w:p>
      <w:pPr>
        <w:pStyle w:val="ListParagraph"/>
        <w:numPr>
          <w:ilvl w:val="0"/>
          <w:numId w:val="2"/>
        </w:numPr>
        <w:spacing w:after="80"/>
      </w:pPr>
      <w:r>
        <w:t xml:space="preserve">Commission RF emissions/exposure and battery safety testing once a working prototype exists.</w:t>
      </w:r>
    </w:p>
    <w:p>
      <w:pPr>
        <w:pStyle w:val="ListParagraph"/>
        <w:numPr>
          <w:ilvl w:val="0"/>
          <w:numId w:val="2"/>
        </w:numPr>
        <w:spacing w:after="80"/>
      </w:pPr>
      <w:r>
        <w:t xml:space="preserve">Measure end-to-end control latency under real conditions before relying on this for any safety-relevant robot behaviour.</w:t>
      </w:r>
    </w:p>
    <w:p>
      <w:pPr>
        <w:pStyle w:val="ListParagraph"/>
        <w:numPr>
          <w:ilvl w:val="0"/>
          <w:numId w:val="2"/>
        </w:numPr>
        <w:spacing w:after="80"/>
      </w:pPr>
      <w:r>
        <w:t xml:space="preserve">Confirm the responsibility/liability boundary between this device and the host robot platform with whoever builds or supplies it.</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80"/>
        <w:gridCol w:w="328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Date</w:t>
            </w:r>
          </w:p>
        </w:tc>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Author</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Change description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19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Initial draft for internal audit review (as “ReArm Snap’n’Track”)</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v0.2</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Renamed product to Candour; architecture updated to add outward-facing stereo cameras and a binocular flat-IR gaze array; added camera-related privacy/regulatory considerations and a near-IR eye-safety risk</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Renamed product to ReArm Candor; architecture updated so front camera images stream live to an ML pipeline with no on-device storage; recalculated power budget shows the 48-hour runtime target is not achievable at this module size, while the 10-minute fast-charge target remains achievable; added live-video-link privacy/security considerations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v0.4</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Runtime target revised to a 24-hour minimum; added a gyroscope (6-axis IMU) for head pitch/yaw/roll; added energy-saving levers, a duty-cycle-vs-capacity analysis, a split-cell temple-arm structural recommendation, and a battery chemistry comparison including silicon-anode and solid-state options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v0.5</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Added an on-board vision chip that converts camera images into coordinates directly on the bridge module; the wireless link now carries three small coordinate streams (image, gaze, orientation) instead of raw video, lowering the power budget, reverting the radio to a lightweight BLE-class link, and improving the bystander-privacy position</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v0.6</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Major re-scope: product redefined as a gaze/head-orientation peripheral for a host robotic system (e.g. a gaze-controlled robot dog); all cameras and image processing removed from this device; power budget reduced to a simple continuous-operation figure (≈220–330 mAh for 24 h); removed camera-related privacy/regulatory items; added new robot-control functional-safety and command-injection security considerations</w:t>
            </w:r>
          </w:p>
        </w:tc>
      </w:tr>
    </w:tbl>
    <w:p>
      <w:pPr>
        <w:pStyle w:val="Heading1"/>
      </w:pPr>
      <w:r>
        <w:t xml:space="preserve">11. Approval</w:t>
      </w:r>
    </w:p>
    <w:p>
      <w:pPr>
        <w:tabs>
          <w:tab w:val="left" w:pos="4513"/>
        </w:tabs>
        <w:spacing w:after="360"/>
      </w:pPr>
      <w:r>
        <w:rPr>
          <w:b/>
          <w:bCs/>
        </w:rPr>
        <w:t xml:space="preserve">Prepared by:</w:t>
      </w:r>
      <w:r>
        <w:t xml:space="preserve">  ___________________________</w:t>
      </w:r>
      <w:r>
        <w:t xml:space="preserve">	Date:  ___________________</w:t>
      </w:r>
    </w:p>
    <w:p>
      <w:pPr>
        <w:tabs>
          <w:tab w:val="left" w:pos="4513"/>
        </w:tabs>
        <w:spacing w:after="360"/>
      </w:pPr>
      <w:r>
        <w:rPr>
          <w:b/>
          <w:bCs/>
        </w:rPr>
        <w:t xml:space="preserve">Reviewed by (technical):</w:t>
      </w:r>
      <w:r>
        <w:t xml:space="preserve">  ___________________________</w:t>
      </w:r>
      <w:r>
        <w:t xml:space="preserve">	Date:  ___________________</w:t>
      </w:r>
    </w:p>
    <w:p>
      <w:pPr>
        <w:tabs>
          <w:tab w:val="left" w:pos="4513"/>
        </w:tabs>
        <w:spacing w:after="360"/>
      </w:pPr>
      <w:r>
        <w:rPr>
          <w:b/>
          <w:bCs/>
        </w:rPr>
        <w:t xml:space="preserve">Reviewed by (compliance/legal):</w:t>
      </w:r>
      <w:r>
        <w:t xml:space="preserve">  ___________________________</w:t>
      </w:r>
      <w:r>
        <w:t xml:space="preserve">	Date:  ___________________</w:t>
      </w:r>
    </w:p>
    <w:p>
      <w:pPr>
        <w:tabs>
          <w:tab w:val="left" w:pos="4513"/>
        </w:tabs>
        <w:spacing w:after="360"/>
      </w:pPr>
      <w:r>
        <w:rPr>
          <w:b/>
          <w:bCs/>
        </w:rPr>
        <w:t xml:space="preserve">Approved by:</w:t>
      </w:r>
      <w:r>
        <w:t xml:space="preserve">  ___________________________</w:t>
      </w:r>
      <w:r>
        <w:t xml:space="preserve">	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Product &amp; Compliance Specification — RAC-SPEC-001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2026-06-27T17:52:02.106Z</dcterms:created>
  <dcterms:modified xsi:type="dcterms:W3CDTF">2026-06-27T17:52:02.106Z</dcterms:modified>
</cp:coreProperties>
</file>

<file path=docProps/custom.xml><?xml version="1.0" encoding="utf-8"?>
<Properties xmlns="http://schemas.openxmlformats.org/officeDocument/2006/custom-properties" xmlns:vt="http://schemas.openxmlformats.org/officeDocument/2006/docPropsVTypes"/>
</file>