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Engineering Specification — Working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Engineering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v0.4 (working draft — supersedes v0.3)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 battery target revised to 24 h minimum; energy-saving levers and battery chemistry options evaluated; gyroscope added; not bench-validated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Last updated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maker use only — not for external release</w:t>
            </w:r>
          </w:p>
        </w:tc>
      </w:tr>
    </w:tbl>
    <w:p>
      <w:r>
        <w:br w:type="page"/>
      </w:r>
    </w:p>
    <w:p>
      <w:pPr>
        <w:pStyle w:val="Heading1"/>
      </w:pPr>
      <w:r>
        <w:t xml:space="preserve">1. Product Overview</w:t>
      </w:r>
    </w:p>
    <w:p>
      <w:pPr>
        <w:spacing w:after="160"/>
      </w:pPr>
      <w:r>
        <w:t xml:space="preserve">ReArm Candor is a smart-eyewear bridge module for prescription or cosmetic glasses that adds two capabilities: outward-facing stereo (RGB + IR-assisted) depth sensing of the environment, and inward-facing binocular gaze tracking of the wearer’s eyes — fused together to determine exactly what the wearer is looking at and how far away it is. A separate, less space-constrained companion mainboard (worn or carried nearby) handles heavier compute, the live ML image-processing/object-detection pipeline, and battery duty.</w:t>
      </w:r>
    </w:p>
    <w:p>
      <w:pPr>
        <w:pStyle w:val="ListParagraph"/>
        <w:numPr>
          <w:ilvl w:val="0"/>
          <w:numId w:val="2"/>
        </w:numPr>
        <w:spacing w:after="80"/>
      </w:pPr>
      <w:r>
        <w:t xml:space="preserve">Bridge module integrates cleanly into the glasses’ nose bridge with a premium, CNC-machined finish — no exposed screws or visible wiring.</w:t>
      </w:r>
    </w:p>
    <w:p>
      <w:pPr>
        <w:pStyle w:val="ListParagraph"/>
        <w:numPr>
          <w:ilvl w:val="0"/>
          <w:numId w:val="2"/>
        </w:numPr>
        <w:spacing w:after="80"/>
      </w:pPr>
      <w:r>
        <w:t xml:space="preserve">Front camera images (RGB and IR-assisted) stream live, continuously, to an ML pipeline for image processing and object detection — no image data is stored at any point in the pipeline.</w:t>
      </w:r>
    </w:p>
    <w:p>
      <w:pPr>
        <w:pStyle w:val="ListParagraph"/>
        <w:numPr>
          <w:ilvl w:val="0"/>
          <w:numId w:val="2"/>
        </w:numPr>
        <w:spacing w:after="80"/>
      </w:pPr>
      <w:r>
        <w:t xml:space="preserve">Inward gaze sensing must not use inward-facing cameras (privacy, power, and thickness) — use a flat IR photodiode array instead.</w:t>
      </w:r>
    </w:p>
    <w:p>
      <w:pPr>
        <w:pStyle w:val="ListParagraph"/>
        <w:numPr>
          <w:ilvl w:val="0"/>
          <w:numId w:val="2"/>
        </w:numPr>
        <w:spacing w:after="80"/>
      </w:pPr>
      <w:r>
        <w:t xml:space="preserve">A gyroscope (as part of a 6-axis IMU) tracks head pitch, yaw, and roll, so the system knows whether the wearer is looking up, down, or to either side, independent of the gaze array.</w:t>
      </w:r>
    </w:p>
    <w:p>
      <w:pPr>
        <w:pStyle w:val="ListParagraph"/>
        <w:numPr>
          <w:ilvl w:val="0"/>
          <w:numId w:val="2"/>
        </w:numPr>
        <w:spacing w:after="80"/>
      </w:pPr>
      <w:r>
        <w:t xml:space="preserve">Gaze vectors (inward) combine with the 3D scene map derived from the front camera stream (outward) to identify exactly what the user is looking at and how far away it is — vergence between the two gaze vectors gives fixation depth without extra depth hardware on the eye side.</w:t>
      </w:r>
    </w:p>
    <w:p>
      <w:pPr>
        <w:pStyle w:val="ListParagraph"/>
        <w:numPr>
          <w:ilvl w:val="0"/>
          <w:numId w:val="2"/>
        </w:numPr>
        <w:spacing w:after="80"/>
      </w:pPr>
      <w:r>
        <w:t xml:space="preserve">Wireless link to the mainboard must now carry a continuous live video stream, not just small coordinate packets — a major change from the original lightweight-payload design; see Section 9.</w:t>
      </w:r>
    </w:p>
    <w:p>
      <w:pPr>
        <w:pStyle w:val="ListParagraph"/>
        <w:numPr>
          <w:ilvl w:val="0"/>
          <w:numId w:val="2"/>
        </w:numPr>
        <w:spacing w:after="80"/>
      </w:pPr>
      <w:r>
        <w:t xml:space="preserve">Minimum standalone runtime: 24 hours per charge (revised down from the original 48-hour target). All communication encrypted end-to-end.</w:t>
      </w:r>
    </w:p>
    <w:p>
      <w:pPr>
        <w:pBdr>
          <w:left w:val="single" w:color="2E75B6" w:sz="12" w:space="8"/>
        </w:pBdr>
        <w:spacing w:after="200" w:before="60"/>
        <w:ind w:left="120"/>
      </w:pPr>
      <w:r>
        <w:rPr>
          <w:i/>
          <w:iCs/>
          <w:color w:val="595959"/>
          <w:sz w:val="21"/>
          <w:szCs w:val="21"/>
        </w:rPr>
        <w:t xml:space="preserve">ASSUMPTION: this revision assumes the ML image-processing/object-detection pipeline runs on the Mainboard companion device (which has the larger battery and compute budget), not on the bridge module itself or in the cloud, and that the rear binocular gaze array stays the low-power IR photodiode design from Section 4 rather than becoming camera-based. If either assumption is wrong — for example, if “ir images” refers to the eyes rather than the front scene, or if ML inference is meant to run on the bridge or off-device — the power and bandwidth numbers in Sections 7 and 9 would need to be reworked. Flag this so it can be corrected if needed.</w:t>
      </w:r>
    </w:p>
    <w:p>
      <w:pPr>
        <w:pBdr>
          <w:left w:val="single" w:color="C00000" w:sz="12" w:space="8"/>
        </w:pBdr>
        <w:spacing w:after="240" w:before="80"/>
        <w:ind w:left="120"/>
      </w:pPr>
      <w:r>
        <w:rPr>
          <w:b/>
          <w:bCs/>
          <w:color w:val="C00000"/>
          <w:sz w:val="21"/>
          <w:szCs w:val="21"/>
        </w:rPr>
        <w:t xml:space="preserve">v0.4: 24 hours is achievable, but not from the bridge module’s sensors alone in a truly microscopic form factor, and not from a chemistry swap alone. Section 7 walks through the energy-saving levers, a revised power budget, a duty-cycle decision the team needs to make, a structural recommendation (split the battery across the temple arms, not just the bridge), and a chemistry comparison including premium/rarer cell types.</w:t>
      </w:r>
    </w:p>
    <w:p>
      <w:pPr>
        <w:pStyle w:val="Heading1"/>
      </w:pPr>
      <w: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(on the glasses)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 stereo depth sensing + inward binocular gaze tracking + on-board fusion compute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Replaces the original “Satellite” node; now houses meaningfully more silicon than originally scoped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Companion Mainboard (carried / placed)</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Receives processed outputs; heavier logging/compute; larger battery</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Role unchanged from v0.1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Charging Case (accessory)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battery, Qi receiver coil, pogo-pin dock</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Concept unchanged; charge profile needs re-deriving once real bridge power draw is known</w:t>
            </w:r>
          </w:p>
        </w:tc>
      </w:tr>
    </w:tbl>
    <w:p>
      <w:pPr>
        <w:spacing w:after="100" w:before="200"/>
      </w:pPr>
      <w:r>
        <w:rPr>
          <w:b/>
          <w:bCs/>
        </w:rPr>
        <w:t xml:space="preserve">Data flow:</w:t>
      </w:r>
    </w:p>
    <w:p>
      <w:pPr>
        <w:spacing w:after="160"/>
      </w:pPr>
      <w:r>
        <w:t xml:space="preserve">The front stereo cameras build a 3D map of the scene. The rear photodiode arrays estimate each eye’s gaze vector, blink, pupil size, and eye openness, plus vergence (the convergence angle between the two gaze vectors, which gives fixation distance with no extra depth hardware on the eye side). The bridge’s on-board vision processor fuses the gaze rays with the 3D scene map to determine the object being looked at and its distance. Only this fused, compact result — not raw video and not raw photodiode traces — is intended to be sent over the wireless link to the mainboard, consistent with the original “coordinates, not video” design principle.</w:t>
      </w:r>
    </w:p>
    <w:p>
      <w:pPr>
        <w:pStyle w:val="Heading1"/>
      </w:pPr>
      <w:r>
        <w:t xml:space="preserve">3. Bridge Module — Front-Facing Stack (outward, away from the eyes)</w:t>
      </w:r>
    </w:p>
    <w:p>
      <w:pPr>
        <w:spacing w:after="160"/>
      </w:pPr>
      <w:r>
        <w:t xml:space="preserve">Per the reference render: a single horizontal bridge housing spans the nose, with two RGB/IR-assisted camera lenses, illumination elements, and a status indicator visible on the outward face.</w:t>
      </w:r>
    </w:p>
    <w:p>
      <w:pPr>
        <w:pStyle w:val="ListParagraph"/>
        <w:numPr>
          <w:ilvl w:val="0"/>
          <w:numId w:val="2"/>
        </w:numPr>
        <w:spacing w:after="80"/>
      </w:pPr>
      <w:r>
        <w:t xml:space="preserve">Stereo RGB/IR-assisted camera pair — captures the live scene continuously; images are streamed off the bridge module rather than processed there.</w:t>
      </w:r>
    </w:p>
    <w:p>
      <w:pPr>
        <w:pStyle w:val="ListParagraph"/>
        <w:numPr>
          <w:ilvl w:val="0"/>
          <w:numId w:val="2"/>
        </w:numPr>
        <w:spacing w:after="80"/>
      </w:pPr>
      <w:r>
        <w:t xml:space="preserve">IR illumination — for low-light scene capture (visible in the render; exact part TBD).</w:t>
      </w:r>
    </w:p>
    <w:p>
      <w:pPr>
        <w:pStyle w:val="ListParagraph"/>
        <w:numPr>
          <w:ilvl w:val="0"/>
          <w:numId w:val="2"/>
        </w:numPr>
        <w:spacing w:after="80"/>
      </w:pPr>
      <w:r>
        <w:t xml:space="preserve">6-axis IMU with gyroscope — e.g. Bosch BMI270 or ST LSM6DSOX class part. Tracks head pitch, yaw, and roll (looking up/down/side to side), independent of the gaze array, and supports the ML pipeline’s scene reconstruction. Negligible power cost: typical active draw is in the hundreds of microamps (well under 1 mW), so this addition does not materially change the power budget in Section 7.</w:t>
      </w:r>
    </w:p>
    <w:p>
      <w:pPr>
        <w:pStyle w:val="ListParagraph"/>
        <w:numPr>
          <w:ilvl w:val="0"/>
          <w:numId w:val="2"/>
        </w:numPr>
        <w:spacing w:after="80"/>
      </w:pPr>
      <w:r>
        <w:t xml:space="preserve">Lightweight on-board MCU — handles sensor control and stream packetization/compression only. Per this revision, the heavier on-board AI vision/fusion processor from v0.2 is no longer needed on the bridge module, since image processing and object detection now run on the mainboard’s ML pipeline (see Section 6).</w:t>
      </w:r>
    </w:p>
    <w:p>
      <w:pPr>
        <w:pStyle w:val="ListParagraph"/>
        <w:numPr>
          <w:ilvl w:val="0"/>
          <w:numId w:val="2"/>
        </w:numPr>
        <w:spacing w:after="80"/>
      </w:pPr>
      <w:r>
        <w:t xml:space="preserve">Status LED — visible in the render; recommend reserving this as an active-streaming/recording indicator (see the compliance specification’s bystander-privacy section).</w:t>
      </w:r>
    </w:p>
    <w:p>
      <w:pPr>
        <w:pBdr>
          <w:left w:val="single" w:color="2E75B6" w:sz="12" w:space="8"/>
        </w:pBdr>
        <w:spacing w:after="200" w:before="60"/>
        <w:ind w:left="120"/>
      </w:pPr>
      <w:r>
        <w:rPr>
          <w:i/>
          <w:iCs/>
          <w:color w:val="595959"/>
          <w:sz w:val="21"/>
          <w:szCs w:val="21"/>
        </w:rPr>
        <w:t xml:space="preserve">OPEN ITEM: exact camera modules, illumination part numbers, IMU/ToF part, and the video compression/codec approach are not yet specified. The codec choice in particular drives the radio bandwidth and power figures in Sections 7 and 9.</w:t>
      </w:r>
    </w:p>
    <w:p>
      <w:pPr>
        <w:pStyle w:val="Heading1"/>
      </w:pPr>
      <w:r>
        <w:t xml:space="preserve">4. Bridge Module — Rear-Facing Stack: the Gaze Array (inward, toward the eyes)</w:t>
      </w:r>
    </w:p>
    <w:p>
      <w:pPr>
        <w:spacing w:after="160"/>
      </w:pPr>
      <w:r>
        <w:t xml:space="preserve">This replaces the previously open “gaze sensor” item from the original spec. Approach: a flat IR photodiode array per eye, with no inward-facing cameras, using differential reflectance off the sclera, iris, pupil, and eyelid to infer gaze (sometimes called photoscleral oculography).</w:t>
      </w:r>
    </w:p>
    <w:p>
      <w:pPr>
        <w:pStyle w:val="Heading2"/>
      </w:pPr>
      <w:r>
        <w:t xml:space="preserve">4.1 Per-eye sensor geometry</w:t>
      </w:r>
    </w:p>
    <w:p>
      <w:pPr>
        <w:pStyle w:val="ListParagraph"/>
        <w:numPr>
          <w:ilvl w:val="0"/>
          <w:numId w:val="2"/>
        </w:numPr>
        <w:spacing w:after="80"/>
      </w:pPr>
      <w:r>
        <w:t xml:space="preserve">16–32 IR photodiodes per eye, arranged as a 4×4 or 5×5 matrix, or as a simpler 4-node differential quadrant (top / bottom / left / right) around the eye perimeter.</w:t>
      </w:r>
    </w:p>
    <w:p>
      <w:pPr>
        <w:pStyle w:val="ListParagraph"/>
        <w:numPr>
          <w:ilvl w:val="0"/>
          <w:numId w:val="2"/>
        </w:numPr>
        <w:spacing w:after="80"/>
      </w:pPr>
      <w:r>
        <w:t xml:space="preserve">2–4 IR LEDs per eye, 940 nm — invisible to the human retina, avoiding glare or distraction.</w:t>
      </w:r>
    </w:p>
    <w:p>
      <w:pPr>
        <w:pStyle w:val="ListParagraph"/>
        <w:numPr>
          <w:ilvl w:val="0"/>
          <w:numId w:val="2"/>
        </w:numPr>
        <w:spacing w:after="80"/>
      </w:pPr>
      <w:r>
        <w:t xml:space="preserve">Both sit behind a flush, smoked IR-transparent window so nothing is visible from outside the lens — matching the reference render’s intent of looking like sealed consumer electronics rather than a visible sensor grid.</w:t>
      </w:r>
    </w:p>
    <w:p>
      <w:pPr>
        <w:pStyle w:val="Heading2"/>
      </w:pPr>
      <w:r>
        <w:t xml:space="preserve">4.2 Candidate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photodiode (receiver)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leadless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830–950 nm, ≈70 ns response — fast enough for saccades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Everlight PD15-22C/TR8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photodiode, lower-cost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1206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Tuned to 940 nm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emitter (LED)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 dome lens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35° beam — reduces sideways leakage into the adjacent photodiode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SunLED XZMYK53W-8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emitter, thinner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0603/0805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Lower power, for the thinnest frame sections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8-channel analogue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Routes multiple photodiodes into one ADC pin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Sequences LED firing from a few control pins</w:t>
            </w:r>
          </w:p>
        </w:tc>
      </w:tr>
    </w:tbl>
    <w:p>
      <w:pPr>
        <w:pStyle w:val="Heading2"/>
      </w:pPr>
      <w:r>
        <w:t xml:space="preserve">4.3 Orientation &amp; cross-talk control</w:t>
      </w:r>
    </w:p>
    <w:p>
      <w:pPr>
        <w:pStyle w:val="ListParagraph"/>
        <w:numPr>
          <w:ilvl w:val="0"/>
          <w:numId w:val="2"/>
        </w:numPr>
        <w:spacing w:after="80"/>
      </w:pPr>
      <w:r>
        <w:t xml:space="preserve">Tilt each LED/photodiode pair toward the eye in a shallow “V”: LED ≈+15°, photodiode ≈-15°, so the sensed reflection comes from the eyeball surface, not a direct LED-to-photodiode bounce.</w:t>
      </w:r>
    </w:p>
    <w:p>
      <w:pPr>
        <w:pStyle w:val="ListParagraph"/>
        <w:numPr>
          <w:ilvl w:val="0"/>
          <w:numId w:val="2"/>
        </w:numPr>
        <w:spacing w:after="80"/>
      </w:pPr>
      <w:r>
        <w:t xml:space="preserve">Outer nodes (temple side) tilt steeper, ≈20–25°; inner nodes (nose-bridge side) tilt shallower, ≈10–15°, so they don’t flood with reflections off the skin of the nose.</w:t>
      </w:r>
    </w:p>
    <w:p>
      <w:pPr>
        <w:pStyle w:val="ListParagraph"/>
        <w:numPr>
          <w:ilvl w:val="0"/>
          <w:numId w:val="2"/>
        </w:numPr>
        <w:spacing w:after="80"/>
      </w:pPr>
      <w:r>
        <w:t xml:space="preserve">A small physical divider rib between each LED/photodiode pair blocks direct surface light leakage.</w:t>
      </w:r>
    </w:p>
    <w:p>
      <w:pPr>
        <w:pStyle w:val="ListParagraph"/>
        <w:numPr>
          <w:ilvl w:val="0"/>
          <w:numId w:val="2"/>
        </w:numPr>
        <w:spacing w:after="80"/>
      </w:pPr>
      <w:r>
        <w:t xml:space="preserve">For binocular operation, mirror the geometry across the bridge — left and right assemblies are separate, independently tuned zones, which simplifies calibration and cross-talk control versus one shared central array.</w:t>
      </w:r>
    </w:p>
    <w:p>
      <w:pPr>
        <w:pStyle w:val="Heading2"/>
      </w:pPr>
      <w:r>
        <w:t xml:space="preserve">4.4 Firmware: time-division multiplexing</w:t>
      </w:r>
    </w:p>
    <w:p>
      <w:pPr>
        <w:spacing w:after="160"/>
      </w:pPr>
      <w:r>
        <w:t xml:space="preserve">Do not run all LEDs simultaneously — cross-talk between channels, and between the two eyes, makes the readings unusable. Strobe one LED, read its matching photodiode, then move to the next node, cycling through all nodes for both eyes. Photodiodes in this class respond in well under 100 ns, so a full multi-node cycle across both eyes can complete in under 1 ms, putting the theoretical sampling rate into the kHz range — confirm the achievable rate once the real component count and microcontroller ADC budget are fixed.</w:t>
      </w:r>
    </w:p>
    <w:p>
      <w:pPr>
        <w:pStyle w:val="Heading2"/>
      </w:pPr>
      <w:r>
        <w:t xml:space="preserve">4.5 Derived outputs</w:t>
      </w:r>
    </w:p>
    <w:p>
      <w:pPr>
        <w:pStyle w:val="ListParagraph"/>
        <w:numPr>
          <w:ilvl w:val="0"/>
          <w:numId w:val="2"/>
        </w:numPr>
        <w:spacing w:after="80"/>
      </w:pPr>
      <w:r>
        <w:t xml:space="preserve">Left-eye gaze vector, right-eye gaze vector.</w:t>
      </w:r>
    </w:p>
    <w:p>
      <w:pPr>
        <w:pStyle w:val="ListParagraph"/>
        <w:numPr>
          <w:ilvl w:val="0"/>
          <w:numId w:val="2"/>
        </w:numPr>
        <w:spacing w:after="80"/>
      </w:pPr>
      <w:r>
        <w:t xml:space="preserve">Blink detection, eye openness.</w:t>
      </w:r>
    </w:p>
    <w:p>
      <w:pPr>
        <w:pStyle w:val="ListParagraph"/>
        <w:numPr>
          <w:ilvl w:val="0"/>
          <w:numId w:val="2"/>
        </w:numPr>
        <w:spacing w:after="80"/>
      </w:pPr>
      <w:r>
        <w:t xml:space="preserve">Approximate pupil size.</w:t>
      </w:r>
    </w:p>
    <w:p>
      <w:pPr>
        <w:pStyle w:val="ListParagraph"/>
        <w:numPr>
          <w:ilvl w:val="0"/>
          <w:numId w:val="2"/>
        </w:numPr>
        <w:spacing w:after="80"/>
      </w:pPr>
      <w:r>
        <w:t xml:space="preserve">Vergence (from the angle between the two gaze vectors) → fixation distance, with no extra eye-side depth hardware.</w:t>
      </w:r>
    </w:p>
    <w:p>
      <w:pPr>
        <w:pStyle w:val="ListParagraph"/>
        <w:numPr>
          <w:ilvl w:val="0"/>
          <w:numId w:val="2"/>
        </w:numPr>
        <w:spacing w:after="80"/>
      </w:pPr>
      <w:r>
        <w:t xml:space="preserve">Approximate eye-to-lens distance for calibration (roughly 12–17 mm range).</w:t>
      </w:r>
    </w:p>
    <w:p>
      <w:pPr>
        <w:pStyle w:val="Heading2"/>
      </w:pPr>
      <w:r>
        <w:t xml:space="preserve">4.6 Fusion with the front camera stream</w:t>
      </w:r>
    </w:p>
    <w:p>
      <w:pPr>
        <w:spacing w:after="160"/>
      </w:pPr>
      <w:r>
        <w:t xml:space="preserve">Vergence alone estimates how far away the fixation point is; pairing the gaze rays with the 3D scene map derived from the front camera stream lets the system identify which actual object is being looked at, not just how far away it sits. Per this revision, that fusion step is assumed to run on the mainboard’s ML pipeline alongside object detection, rather than on the bridge module — so the bridge needs to send both the gaze-array outputs (Section 4.5) and the front camera stream (Section 3) to the mainboard.</w:t>
      </w:r>
    </w:p>
    <w:p>
      <w:pPr>
        <w:pStyle w:val="Heading2"/>
      </w:pPr>
      <w:r>
        <w:t xml:space="preserve">4.7 Accuracy trade-off</w:t>
      </w:r>
    </w:p>
    <w:p>
      <w:pPr>
        <w:spacing w:after="160"/>
      </w:pPr>
      <w:r>
        <w:t xml:space="preserve">Flat photodiode arrays trade spatial resolution and calibration simplicity for a large win in power, thickness, and privacy versus inward-facing cameras. They suit interaction, accessibility, and attention-tracking use cases well. If the product’s target is sub-degree gaze accuracy for scientific or high-end AR applications, inward-facing IR cameras remain the more proven approach — make this trade-off explicitly and document it before committing to the photodiode approach in tooling or production.</w:t>
      </w:r>
    </w:p>
    <w:p>
      <w:pPr>
        <w:pStyle w:val="Heading1"/>
      </w:pPr>
      <w:r>
        <w:t xml:space="preserve">5. Industrial Design Direction (from reference renders)</w:t>
      </w:r>
    </w:p>
    <w:p>
      <w:pPr>
        <w:pStyle w:val="ListParagraph"/>
        <w:numPr>
          <w:ilvl w:val="0"/>
          <w:numId w:val="2"/>
        </w:numPr>
        <w:spacing w:after="80"/>
      </w:pPr>
      <w:r>
        <w:t xml:space="preserve">CNC-machined aluminum housing, matte black anodized finish.</w:t>
      </w:r>
    </w:p>
    <w:p>
      <w:pPr>
        <w:pStyle w:val="ListParagraph"/>
        <w:numPr>
          <w:ilvl w:val="0"/>
          <w:numId w:val="2"/>
        </w:numPr>
        <w:spacing w:after="80"/>
      </w:pPr>
      <w:r>
        <w:t xml:space="preserve">Front face: two camera lenses, illumination/status elements, a low-profile horizontal bridge bar.</w:t>
      </w:r>
    </w:p>
    <w:p>
      <w:pPr>
        <w:pStyle w:val="ListParagraph"/>
        <w:numPr>
          <w:ilvl w:val="0"/>
          <w:numId w:val="2"/>
        </w:numPr>
        <w:spacing w:after="80"/>
      </w:pPr>
      <w:r>
        <w:t xml:space="preserve">Rear face: two independent eye zones, each a flush smoked IR-transparent window with the photodiode/LED matrix hidden behind it, separated by a narrow central electronics section.</w:t>
      </w:r>
    </w:p>
    <w:p>
      <w:pPr>
        <w:pStyle w:val="ListParagraph"/>
        <w:numPr>
          <w:ilvl w:val="0"/>
          <w:numId w:val="2"/>
        </w:numPr>
        <w:spacing w:after="80"/>
      </w:pPr>
      <w:r>
        <w:t xml:space="preserve">No exposed screws, no visible wiring, no labels, logos, or text on the housing.</w:t>
      </w:r>
    </w:p>
    <w:p>
      <w:pPr>
        <w:pStyle w:val="ListParagraph"/>
        <w:numPr>
          <w:ilvl w:val="0"/>
          <w:numId w:val="2"/>
        </w:numPr>
        <w:spacing w:after="80"/>
      </w:pPr>
      <w:r>
        <w:t xml:space="preserve">Target fit-and-finish benchmark from the design brief: premium consumer-electronics tier rather than a visible “sensor panel.”</w:t>
      </w:r>
    </w:p>
    <w:p>
      <w:pPr>
        <w:pStyle w:val="Heading1"/>
      </w:pPr>
      <w:r>
        <w:t xml:space="preserve">6. Companion Mainboard</w:t>
      </w:r>
    </w:p>
    <w:p>
      <w:pPr>
        <w:spacing w:after="160"/>
      </w:pPr>
      <w:r>
        <w:t xml:space="preserve">Carried over from v0.2, with one significant addition: the mainboard now hosts the live ML image-processing and object-detection pipeline.</w:t>
      </w:r>
    </w:p>
    <w:p>
      <w:pPr>
        <w:pStyle w:val="ListParagraph"/>
        <w:numPr>
          <w:ilvl w:val="0"/>
          <w:numId w:val="2"/>
        </w:numPr>
        <w:spacing w:after="80"/>
      </w:pPr>
      <w:r>
        <w:t xml:space="preserve">Radio: needs reassessment — see Section 9. The original Nordic nRF52840-class radio was sized for small coordinate packets, not a continuous video stream.</w:t>
      </w:r>
    </w:p>
    <w:p>
      <w:pPr>
        <w:pStyle w:val="ListParagraph"/>
        <w:numPr>
          <w:ilvl w:val="0"/>
          <w:numId w:val="2"/>
        </w:numPr>
        <w:spacing w:after="80"/>
      </w:pPr>
      <w:r>
        <w:t xml:space="preserve">Antenna: SMA or U.FL connector with a flexible 2.4 GHz (or higher-band, depending on the final radio choice) antenna.</w:t>
      </w:r>
    </w:p>
    <w:p>
      <w:pPr>
        <w:pStyle w:val="ListParagraph"/>
        <w:numPr>
          <w:ilvl w:val="0"/>
          <w:numId w:val="2"/>
        </w:numPr>
        <w:spacing w:after="80"/>
      </w:pPr>
      <w:r>
        <w:t xml:space="preserve">Battery: standard LiPo, ≈1000 mAh class — size and weight are not constrained here, and now needs to cover the ML pipeline’s compute load in addition to radio reception.</w:t>
      </w:r>
    </w:p>
    <w:p>
      <w:pPr>
        <w:pStyle w:val="ListParagraph"/>
        <w:numPr>
          <w:ilvl w:val="0"/>
          <w:numId w:val="2"/>
        </w:numPr>
        <w:spacing w:after="80"/>
      </w:pPr>
      <w:r>
        <w:t xml:space="preserve">Firmware/software role: receive the bridge module’s live camera stream and gaze-array outputs, run image processing and object detection in real time, fuse the result with the gaze vectors, and process it — with no image data written to persistent storage anywhere in the pipeline, per the stated design principle.</w:t>
      </w:r>
    </w:p>
    <w:p>
      <w:pPr>
        <w:pBdr>
          <w:left w:val="single" w:color="2E75B6" w:sz="12" w:space="8"/>
        </w:pBdr>
        <w:spacing w:after="200" w:before="60"/>
        <w:ind w:left="120"/>
      </w:pPr>
      <w:r>
        <w:rPr>
          <w:i/>
          <w:iCs/>
          <w:color w:val="595959"/>
          <w:sz w:val="21"/>
          <w:szCs w:val="21"/>
        </w:rPr>
        <w:t xml:space="preserve">Confirm where the ML inference actually runs (this document assumes the mainboard — see Section 1) and what its own power/thermal draw looks like once a model and hardware target are chosen; that is a separate budget from the bridge module’s, but it will affect mainboard battery life and possibly its size/cooling.</w:t>
      </w:r>
    </w:p>
    <w:p>
      <w:pPr>
        <w:pStyle w:val="Heading1"/>
      </w:pPr>
      <w:r>
        <w:t xml:space="preserve">7. Power Budget, Battery Life &amp; Fast-Charge Calculations</w:t>
      </w:r>
    </w:p>
    <w:p>
      <w:pPr>
        <w:pStyle w:val="Heading2"/>
      </w:pPr>
      <w:r>
        <w:t xml:space="preserve">7.1 What changed in this revision</w:t>
      </w:r>
    </w:p>
    <w:p>
      <w:pPr>
        <w:spacing w:after="160"/>
      </w:pPr>
      <w:r>
        <w:t xml:space="preserve">Two changes from v0.3: the runtime target is now a 24-hour minimum (down from 48 hours), and the team has asked specifically where energy can be shaved and whether a different battery chemistry — including premium/rarer types — could help close the gap. The gyroscope addition (Section 3) is negligible to this budget; the camera/radio side is what needs work.</w:t>
      </w:r>
    </w:p>
    <w:p>
      <w:pPr>
        <w:pBdr>
          <w:left w:val="single" w:color="2E75B6" w:sz="12" w:space="8"/>
        </w:pBdr>
        <w:spacing w:after="200" w:before="60"/>
        <w:ind w:left="120"/>
      </w:pPr>
      <w:r>
        <w:rPr>
          <w:i/>
          <w:iCs/>
          <w:color w:val="595959"/>
          <w:sz w:val="21"/>
          <w:szCs w:val="21"/>
        </w:rPr>
        <w:t xml:space="preserve">These remain component-class engineering estimates, not measured figures — final numbers depend on the camera, radio, and codec parts ultimately chosen (Sections 3, 9, 10).</w:t>
      </w:r>
    </w:p>
    <w:p>
      <w:pPr>
        <w:pStyle w:val="Heading2"/>
      </w:pPr>
      <w:r>
        <w:t xml:space="preserve">7.2 Baseline draw, unoptimized (carried over from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Subsystem</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 avg draw</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Basis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RGB/IR camera pair (2×)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200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 mW each, small global-shutter sensors, continuous streaming</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Front IR illumination (low-light assist)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30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Blended average duty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 IR gaze array (photodiodes + LEDs, TDM-scanned)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Genuinely low-power — not a target for savings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6-axis IMU with gyroscope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&lt;1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in this revision; negligible cost</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On-board MCU / sensor control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Wireless radio, continuous video stream</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200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Generic Wi-Fi-class assumption from v0.3</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TOTAL (100% active-streaming duty, unoptimized)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461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≈192 mA at LTO’s ≈2.4 V nominal</w:t>
            </w:r>
          </w:p>
        </w:tc>
      </w:tr>
    </w:tbl>
    <w:p>
      <w:pPr>
        <w:pStyle w:val="Heading2"/>
      </w:pPr>
      <w:r>
        <w:t xml:space="preserve">7.3 Energy-saving levers and their estimated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Lever</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What it does</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 impact</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Lower camera resolution/frame rate + on-sensor compression</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Cuts raw data volume before it reaches the radio</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Camera → ≈100 mW total</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Event/gaze-triggered streaming instead of always-on</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Only streams when there’s a meaningful fixation change or an explicit user trigger</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The single biggest lever — moves the system from 100% to a low single-digit-percent active duty cycle (Section 7.5)</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Lower-power radio technology (UWB, or a dedicated low-power video radio, vs. a generic Wi-Fi stack)</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Cuts the per-bit transmission cost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Radio → ≈100 mW while active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Single-camera fallback mode</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Use one camera, not the stereo pair, when full depth isn’t needed</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Roughly halves camera draw in that mode — not counted in the baseline below; treat as a further reserve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Smarter MCU/radio sleep states</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Reduces the always-on idle floor</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Idle → ≈18 mW</w:t>
            </w:r>
          </w:p>
        </w:tc>
      </w:tr>
    </w:tbl>
    <w:p>
      <w:pPr>
        <w:pStyle w:val="Heading2"/>
      </w:pPr>
      <w:r>
        <w:t xml:space="preserve">7.4 Optimized power draw, levers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Subsystem</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Optimized avg draw</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Basis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camera pair (2×), reduced res/frame rate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Lever 1</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Front IR illumination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Lower duty, better LED driver</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 IR gaze array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Unchanged</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6-axis IMU with gyroscope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&lt;1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On-board MCU / sensor control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Wireless radio (lower-power technology), active streaming</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100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Lever 3</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TOTAL, active streaming (optimized)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241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 mA at ≈2.4 V</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TOTAL, idle/standby (optimized)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18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≈7.5 mA at ≈2.4 V — gaze array + minimal MCU/radio beacon</w:t>
            </w:r>
          </w:p>
        </w:tc>
      </w:tr>
    </w:tbl>
    <w:p>
      <w:pPr>
        <w:pStyle w:val="Heading2"/>
      </w:pPr>
      <w:r>
        <w:t xml:space="preserve">7.5 Duty cycle vs. capacity needed for 24 hours</w:t>
      </w:r>
    </w:p>
    <w:p>
      <w:pPr>
        <w:spacing w:after="160"/>
      </w:pPr>
      <w:r>
        <w:t xml:space="preserve">The idle figure above is the real floor: keeping the gaze array and baseline electronics alive for a full day costs roughly 180 mAh on its own, before any camera streaming at all. Every active-streaming percentage point on top of that adds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30"/>
        <w:gridCol w:w="253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Active duty cycle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Blended avg power</w:t>
            </w:r>
          </w:p>
        </w:tc>
        <w:tc>
          <w:tcPr>
            <w:tcW w:type="dxa" w:w="22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Blended avg current</w:t>
            </w:r>
          </w:p>
        </w:tc>
        <w:tc>
          <w:tcPr>
            <w:tcW w:type="dxa" w:w="25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Capacity needed for 24 h</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 (always streaming)</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≈241 mW</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 mA</w:t>
            </w:r>
          </w:p>
        </w:tc>
        <w:tc>
          <w:tcPr>
            <w:tcW w:type="dxa" w:w="25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≈2,430 mAh</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 mW</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≈31 mA</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≈740 mAh</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≈41 mW</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≈17 mA</w:t>
            </w:r>
          </w:p>
        </w:tc>
        <w:tc>
          <w:tcPr>
            <w:tcW w:type="dxa" w:w="25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≈405 mAh</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≈29 mW</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 mA</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≈290 mAh</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 mW</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 mA</w:t>
            </w:r>
          </w:p>
        </w:tc>
        <w:tc>
          <w:tcPr>
            <w:tcW w:type="dxa" w:w="25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≈225 mAh</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0% (idle floor only)</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≈18 mW</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≈8 mA</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≈180 mAh</w:t>
            </w:r>
          </w:p>
        </w:tc>
      </w:tr>
    </w:tbl>
    <w:p>
      <w:pPr>
        <w:pBdr>
          <w:left w:val="single" w:color="C00000" w:sz="12" w:space="8"/>
        </w:pBdr>
        <w:spacing w:after="240" w:before="80"/>
        <w:ind w:left="120"/>
      </w:pPr>
      <w:r>
        <w:rPr>
          <w:b/>
          <w:bCs/>
          <w:color w:val="C00000"/>
          <w:sz w:val="21"/>
          <w:szCs w:val="21"/>
        </w:rPr>
        <w:t xml:space="preserve">HEADLINE: 24 hours is achievable, but the floor set by the always-on gaze array alone is roughly 180 mAh, and a realistic, lightly-used streaming feature (around 5% active duty — streaming engaged for a few minutes per hour on average) lands around 290 mAh. That is a real decision for the team: pick a target duty cycle for the streaming/object-detection feature, since it directly sets the required cell size.</w:t>
      </w:r>
    </w:p>
    <w:p>
      <w:pPr>
        <w:pStyle w:val="Heading2"/>
      </w:pPr>
      <w:r>
        <w:t xml:space="preserve">7.6 Structural recommendation: don’t put all of it in the bridge</w:t>
      </w:r>
    </w:p>
    <w:p>
      <w:pPr>
        <w:spacing w:after="160"/>
      </w:pPr>
      <w:r>
        <w:t xml:space="preserve">≈250–300 mAh is still larger than a true micro pin-cell, but it does not have to live entirely in the nose-bridge module. Production smart glasses (Ray-Ban Meta, Even Realities, and others) solve this same problem by keeping the bridge/sensor housing thin and pushing battery mass into the temple arms, which have more usable volume and sit closer to the ears, improving weight balance. Recommend splitting the target capacity into 2–3 smaller cells distributed across both temple arms (plus, optionally, a small buffer cell at the bridge itself dedicated to the gaze array’s always-on draw) rather than one large cell concentrated at the nose bridge.</w:t>
      </w:r>
    </w:p>
    <w:p>
      <w:pPr>
        <w:pStyle w:val="Heading2"/>
      </w:pPr>
      <w:r>
        <w:t xml:space="preserve">7.7 Battery chemistry comparison, including premium/rarer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1660"/>
        <w:gridCol w:w="184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Chemistry</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Approx. energy density</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Charge behaviour</w:t>
            </w:r>
          </w:p>
        </w:tc>
        <w:tc>
          <w:tcPr>
            <w:tcW w:type="dxa" w:w="1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Maturity / cost</w:t>
            </w:r>
          </w:p>
        </w:tc>
        <w:tc>
          <w:tcPr>
            <w:tcW w:type="dxa" w:w="1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Verdict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LTO (current baseline)</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≈50–80 Wh/kg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Excellent — tolerates 6–20C, true 10-min full charge</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Mature, moderate cost</w:t>
            </w:r>
          </w:p>
        </w:tc>
        <w:tc>
          <w:tcPr>
            <w:tcW w:type="dxa" w:w="1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Keep for the fast-charge segments; its main weakness is energy density, which is why the cell ends up physically large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Standard LiPo / LiCoO2</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≈150–200 Wh/kg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Poor for fast charge — safe rate is normally ≈1C (≈1 hour full charge)</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Mature, cheap</w:t>
            </w:r>
          </w:p>
        </w:tc>
        <w:tc>
          <w:tcPr>
            <w:tcW w:type="dxa" w:w="1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Smaller cell for the same capacity, but gives up the 10-minute charge target entirely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NMC Li-ion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≈150–220 Wh/kg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Similar to LiPo; some formulations reach 2–4C with good pack cooling</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Mature at larger formats; uncommon in true micro pin-cell sizes</w:t>
            </w:r>
          </w:p>
        </w:tc>
        <w:tc>
          <w:tcPr>
            <w:tcW w:type="dxa" w:w="1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Similar density gain to LiPo; sourcing a tiny NMC cell is the practical obstacle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Silicon-anode Li-ion (e.g. Sila Nanotechnologies / Amprius-class cells)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≈180–280 Wh/kg (≈20–40% above standard Li-ion)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Some formulations are specifically marketed for faster charge tolerance than graphite anodes</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Emerging, premium-priced; custom micro-cell sourcing and MOQs likely needed</w:t>
            </w:r>
          </w:p>
        </w:tc>
        <w:tc>
          <w:tcPr>
            <w:tcW w:type="dxa" w:w="1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Worth a vendor conversation — best shot at shrinking the cell while keeping charge times reasonably fast (likely 15–20 min rather than 10)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Solid-state thin-film micro-battery (e.g. Ilika / Prologium-class)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Often lower volumetric density than liquid Li-ion today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Varies by vendor; thin electrodes can support good rate capability in some designs</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Niche, expensive, longer lead times; can be made thin and curved</w:t>
            </w:r>
          </w:p>
        </w:tc>
        <w:tc>
          <w:tcPr>
            <w:tcW w:type="dxa" w:w="1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Most attractive for safety (no flammable liquid electrolyte, worn against the face) and a curved form factor — track for a future generation rather than the first prototype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Lithium-sulfur / lithium-air</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Very high theoretical density</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Generally poor cycle life and rate capability today</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commercially available in micro wearable formats</w:t>
            </w:r>
          </w:p>
        </w:tc>
        <w:tc>
          <w:tcPr>
            <w:tcW w:type="dxa" w:w="1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practical yet — a future watch-item only</w:t>
            </w:r>
          </w:p>
        </w:tc>
      </w:tr>
    </w:tbl>
    <w:p>
      <w:pPr>
        <w:pStyle w:val="Heading2"/>
      </w:pPr>
      <w:r>
        <w:t xml:space="preserve">7.8 Chemistry recommendation</w:t>
      </w:r>
    </w:p>
    <w:p>
      <w:pPr>
        <w:spacing w:after="160"/>
      </w:pPr>
      <w:r>
        <w:t xml:space="preserve">No realistic chemistry swap closes a gap this size by itself — the duty-cycle and radio/compression levers in Section 7.3 are doing most of the work, and are necessary regardless of chemistry. Recommend keeping LTO as the primary chemistry given the explicit 10-minute fast-charge requirement and the safety benefit of a cell worn against the face. If the team is willing to relax the charge time to roughly 15–20 minutes, a silicon-anode cell is the most promising path to a meaningfully smaller physical cell. Treat solid-state thin-film as a longer-term, safety- and form-factor-driven option to revisit once the rest of the architecture stabilizes, not a near-term choice.</w:t>
      </w:r>
    </w:p>
    <w:p>
      <w:pPr>
        <w:pStyle w:val="Heading2"/>
      </w:pPr>
      <w:r>
        <w:t xml:space="preserve">7.9 Fast-charge feasibility at the revised target capacities</w:t>
      </w:r>
    </w:p>
    <w:p>
      <w:pPr>
        <w:spacing w:after="160"/>
      </w:pPr>
      <w:r>
        <w:t xml:space="preserve">A single, undistributed cell at the ≈250–300 mAh target needs a high charge current: a 300 mAh LTO cell at 6C needs 1,800 mA (1.8 A) to fill in 10 minutes — a lot of current for a tiny pogo-pin contact and a single small charge-management 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Approach</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Charge current per contact (6C)</w:t>
            </w:r>
          </w:p>
        </w:tc>
        <w:tc>
          <w:tcPr>
            <w:tcW w:type="dxa" w:w="2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Feasibility note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Single 300 mAh cell at the bridge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1,800 mA</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High risk — likely needs a custom high-current charge IC and heavy-duty contacts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Split into 3×100 mAh cells (temple, temple, bridge)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≈600 mA each</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Matches the previously-validated range; each cell can likely reuse a BQ25120A-class charge IC, subject to its rated maximum — confirm against the datasheet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Split into 2×150 mAh cells (one per temple)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≈900 mA each</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Mid-point option; still worth checking contact and charge-IC current ratings</w:t>
            </w:r>
          </w:p>
        </w:tc>
      </w:tr>
    </w:tbl>
    <w:p>
      <w:pPr>
        <w:pStyle w:val="ListParagraph"/>
        <w:numPr>
          <w:ilvl w:val="0"/>
          <w:numId w:val="2"/>
        </w:numPr>
        <w:spacing w:after="80"/>
      </w:pPr>
      <w:r>
        <w:t xml:space="preserve">Splitting the battery (Section 7.6) also solves the fast-charge current problem: smaller cells need proportionally less current each to hit the same 10-minute target, and a failure in one cell/contact doesn’t take down the whole device.</w:t>
      </w:r>
    </w:p>
    <w:p>
      <w:pPr>
        <w:pStyle w:val="ListParagraph"/>
        <w:numPr>
          <w:ilvl w:val="0"/>
          <w:numId w:val="2"/>
        </w:numPr>
        <w:spacing w:after="80"/>
      </w:pPr>
      <w:r>
        <w:t xml:space="preserve">The charging case’s ≈1,000 mAh reservoir LiPo discharging at well under 1C to deliver any of the currents above is comfortably within normal LiPo capability — this side of the system remains the least of the concerns.</w:t>
      </w:r>
    </w:p>
    <w:p>
      <w:pPr>
        <w:pStyle w:val="Heading1"/>
      </w:pPr>
      <w:r>
        <w:t xml:space="preserve">8. Charging Case</w:t>
      </w:r>
    </w:p>
    <w:p>
      <w:pPr>
        <w:spacing w:after="160"/>
      </w:pPr>
      <w:r>
        <w:t xml:space="preserve">Unchanged in concept: internal Qi receiver coil for ambient desk top-up, and an internal reservoir LiPo (≈1000 mAh) that buffers energy. Per Section 7.6–7.9, the dock should now be designed for multiple smaller cells (one or two per temple arm, plus optionally one at the bridge) rather than a single contact pair — each cell gets its own spring-loaded pogo-pin pair and charges in parallel, keeping the per-contact current manageable while still completing the full charge in ≈10 minutes.</w:t>
      </w:r>
    </w:p>
    <w:p>
      <w:pPr>
        <w:pStyle w:val="Heading1"/>
      </w:pPr>
      <w:r>
        <w:t xml:space="preserve">9. Wireless Link Layer</w:t>
      </w:r>
    </w:p>
    <w:p>
      <w:pPr>
        <w:pBdr>
          <w:left w:val="single" w:color="C00000" w:sz="12" w:space="8"/>
        </w:pBdr>
        <w:spacing w:after="240" w:before="80"/>
        <w:ind w:left="120"/>
      </w:pPr>
      <w:r>
        <w:rPr>
          <w:b/>
          <w:bCs/>
          <w:color w:val="C00000"/>
          <w:sz w:val="21"/>
          <w:szCs w:val="21"/>
        </w:rPr>
        <w:t xml:space="preserve">RE-OPENED BY THIS REVISION: the BLE/Enhanced ShockBurst link below was sized for small coordinate packets, not continuous video. It almost certainly cannot reliably carry two live camera streams, even compressed. Evaluate a Wi-Fi-class (802.11) or UWB radio for the bridge-to-mainboard link before locking in any of the figures below, and re-derive the indoor-range table once a technology is chosen, since range and obstacle behaviour differ meaningfully between BLE, Wi-Fi, and UWB.</w:t>
      </w:r>
    </w:p>
    <w:p>
      <w:pPr>
        <w:pStyle w:val="Heading2"/>
      </w:pPr>
      <w:r>
        <w:t xml:space="preserve">9.1 Indoor range expectations (estimates from the pre-streaming design; need re-deriving for the final radio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Obstacle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Signal impact</w:t>
            </w:r>
          </w:p>
        </w:tc>
        <w:tc>
          <w:tcPr>
            <w:tcW w:type="dxa" w:w="3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Estimated max distance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Open-plan / same room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None</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30+ 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Drywall / stud walls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20–25 m (3–4 rooms)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Brick / concrete walls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Medium</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10–15 m (1–2 dense walls)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Concrete floors / ceilings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High</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 floors maximum</w:t>
            </w:r>
          </w:p>
        </w:tc>
      </w:tr>
    </w:tbl>
    <w:p>
      <w:pPr>
        <w:pStyle w:val="Heading2"/>
      </w:pPr>
      <w:r>
        <w:t xml:space="preserve">9.2 Dynamic TX power loop</w:t>
      </w:r>
    </w:p>
    <w:p>
      <w:pPr>
        <w:spacing w:after="160"/>
      </w:pPr>
      <w:r>
        <w:t xml:space="preserve">Bridge module sends a packet → Mainboard measures RSSI → Mainboard returns an acknowledgement containing that RSSI → Bridge module tunes its next transmit power: strong signal drops power to save battery; weak signal ramps power up for range.</w:t>
      </w:r>
    </w:p>
    <w:p>
      <w:pPr>
        <w:pStyle w:val="Heading2"/>
      </w:pPr>
      <w:r>
        <w:t xml:space="preserve">9.3 Security</w:t>
      </w:r>
    </w:p>
    <w:p>
      <w:pPr>
        <w:pStyle w:val="ListParagraph"/>
        <w:numPr>
          <w:ilvl w:val="0"/>
          <w:numId w:val="2"/>
        </w:numPr>
        <w:spacing w:after="80"/>
      </w:pPr>
      <w:r>
        <w:t xml:space="preserve">AES-128 hardware-accelerated encryption on the radio link, or the chosen radio’s native equivalent.</w:t>
      </w:r>
    </w:p>
    <w:p>
      <w:pPr>
        <w:pStyle w:val="ListParagraph"/>
        <w:numPr>
          <w:ilvl w:val="0"/>
          <w:numId w:val="2"/>
        </w:numPr>
        <w:spacing w:after="80"/>
      </w:pPr>
      <w:r>
        <w:t xml:space="preserve">Do not hardcode the encryption key in firmware. Generate session keys via the chip’s on-board TRNG, or add a dedicated secure-element IC (e.g. ATECC608A) on both boards if a higher security bar is needed.</w:t>
      </w:r>
    </w:p>
    <w:p>
      <w:pPr>
        <w:pBdr>
          <w:left w:val="single" w:color="2E75B6" w:sz="12" w:space="8"/>
        </w:pBdr>
        <w:spacing w:after="200" w:before="60"/>
        <w:ind w:left="120"/>
      </w:pPr>
      <w:r>
        <w:rPr>
          <w:i/>
          <w:iCs/>
          <w:color w:val="595959"/>
          <w:sz w:val="21"/>
          <w:szCs w:val="21"/>
        </w:rPr>
        <w:t xml:space="preserve">Re-confirm the specific cipher suite once the final radio technology (Section 9, intro) is chosen — some Wi-Fi-class radios offer their own native encryption that may simplify or change this.</w:t>
      </w:r>
    </w:p>
    <w:p>
      <w:pPr>
        <w:pStyle w:val="Heading1"/>
      </w:pPr>
      <w:r>
        <w:t xml:space="preserve">10. Bill of Materials (working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200"/>
        <w:gridCol w:w="206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 / form</w:t>
            </w:r>
          </w:p>
        </w:tc>
        <w:tc>
          <w:tcPr>
            <w:tcW w:type="dxa" w:w="2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Stereo RGB/IR camera pair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scene capture, streamed live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 item — see Section 3</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Bosch BMI270 or ST LSM6DSOX</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6-axis IMU with gyroscope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in v0.4 — head pitch/yaw/roll; negligible power cost</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Gaze-array photodiode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940 nm tuned</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Gaze-array IR emitter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 dome lens</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940 nm, 35° beam</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Photodiode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One per eye, or shared with care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LED 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Wi-Fi-class or UWB radio module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Bridge-to-mainboard video link</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Replaces the nRF52 BLE/ESB radio for this link — see Section 9</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LTO micro pin/button cells (×2–3)</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battery, split across temple arms (+ optional bridge cell)</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≈75–150 mAh each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Structural recommendation, Section 7.6; total target ≈225–300 mAh combined</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TI BQ25120A (or larger alternative), one per cell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charge management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2.5×2.5 mm or larger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Confirm max rated current against the chosen per-cell size — Section 7.9</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ML-capable SoC/module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Mainboard image processing &amp; object detection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item — hosts the ML pipeline per Section 6</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LiPo</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Case buffer battery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≈1000 mAh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Qi receiver coil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Case ambient charging</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ATECC608A (optional)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Secure key storage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Add only if higher security bar required</w:t>
            </w:r>
          </w:p>
        </w:tc>
      </w:tr>
    </w:tbl>
    <w:p>
      <w:pPr>
        <w:pStyle w:val="Heading1"/>
      </w:pPr>
      <w:r>
        <w:t xml:space="preserve">11. Open Engineering Questions</w:t>
      </w:r>
    </w:p>
    <w:p>
      <w:pPr>
        <w:pStyle w:val="ListParagraph"/>
        <w:numPr>
          <w:ilvl w:val="0"/>
          <w:numId w:val="2"/>
        </w:numPr>
        <w:spacing w:after="80"/>
      </w:pPr>
      <w:r>
        <w:t xml:space="preserve">Pick a target active-streaming duty cycle (Section 7.5) — this single decision sets the required battery capacity more than any other variable.</w:t>
      </w:r>
    </w:p>
    <w:p>
      <w:pPr>
        <w:pStyle w:val="ListParagraph"/>
        <w:numPr>
          <w:ilvl w:val="0"/>
          <w:numId w:val="2"/>
        </w:numPr>
        <w:spacing w:after="80"/>
      </w:pPr>
      <w:r>
        <w:t xml:space="preserve">Confirm the streaming architecture assumption (Section 1): does “ir images” refer to the front scene camera’s low-light/IR mode, or does the rear eye-tracking also need to become camera-based?</w:t>
      </w:r>
    </w:p>
    <w:p>
      <w:pPr>
        <w:pStyle w:val="ListParagraph"/>
        <w:numPr>
          <w:ilvl w:val="0"/>
          <w:numId w:val="2"/>
        </w:numPr>
        <w:spacing w:after="80"/>
      </w:pPr>
      <w:r>
        <w:t xml:space="preserve">Confirm where the ML pipeline actually runs (assumed: the mainboard) and its own power/thermal budget once a model and hardware target are chosen.</w:t>
      </w:r>
    </w:p>
    <w:p>
      <w:pPr>
        <w:pStyle w:val="ListParagraph"/>
        <w:numPr>
          <w:ilvl w:val="0"/>
          <w:numId w:val="2"/>
        </w:numPr>
        <w:spacing w:after="80"/>
      </w:pPr>
      <w:r>
        <w:t xml:space="preserve">Open a vendor conversation on silicon-anode micro-cells (Section 7.7) to see whether a real part exists at the needed size/MOQ for a prototype run.</w:t>
      </w:r>
    </w:p>
    <w:p>
      <w:pPr>
        <w:pStyle w:val="ListParagraph"/>
        <w:numPr>
          <w:ilvl w:val="0"/>
          <w:numId w:val="2"/>
        </w:numPr>
        <w:spacing w:after="80"/>
      </w:pPr>
      <w:r>
        <w:t xml:space="preserve">Choose the bridge-to-mainboard radio technology (Wi-Fi-class vs. UWB) and video codec/compression approach — drives the power figure in Section 7.4 and the range table in Section 9.1.</w:t>
      </w:r>
    </w:p>
    <w:p>
      <w:pPr>
        <w:pStyle w:val="ListParagraph"/>
        <w:numPr>
          <w:ilvl w:val="0"/>
          <w:numId w:val="2"/>
        </w:numPr>
        <w:spacing w:after="80"/>
      </w:pPr>
      <w:r>
        <w:t xml:space="preserve">Confirm the charge-management IC’s and pogo-pin contacts’ current ratings against the chosen per-cell size (Section 7.9).</w:t>
      </w:r>
    </w:p>
    <w:p>
      <w:pPr>
        <w:pStyle w:val="ListParagraph"/>
        <w:numPr>
          <w:ilvl w:val="0"/>
          <w:numId w:val="2"/>
        </w:numPr>
        <w:spacing w:after="80"/>
      </w:pPr>
      <w:r>
        <w:t xml:space="preserve">Mechanical layout: how the 2–3 split cells, their charge contacts, and the temple-arm hinge all fit together — not yet addressed.</w:t>
      </w:r>
    </w:p>
    <w:p>
      <w:pPr>
        <w:pStyle w:val="ListParagraph"/>
        <w:numPr>
          <w:ilvl w:val="0"/>
          <w:numId w:val="2"/>
        </w:numPr>
        <w:spacing w:after="80"/>
      </w:pPr>
      <w:r>
        <w:t xml:space="preserve">Final photodiode/LED count per eye (16 vs. 32 elements; 4-node vs. full matrix) not yet locked.</w:t>
      </w:r>
    </w:p>
    <w:p>
      <w:pPr>
        <w:pStyle w:val="Heading1"/>
      </w:pPr>
      <w:r>
        <w:t xml:space="preserve">12. Next Steps</w:t>
      </w:r>
    </w:p>
    <w:p>
      <w:pPr>
        <w:pStyle w:val="ListParagraph"/>
        <w:numPr>
          <w:ilvl w:val="0"/>
          <w:numId w:val="2"/>
        </w:numPr>
        <w:spacing w:after="80"/>
      </w:pPr>
      <w:r>
        <w:t xml:space="preserve">Get the team to commit to a target duty cycle (Section 7.5) so the cell-size/chemistry decision can be finalized.</w:t>
      </w:r>
    </w:p>
    <w:p>
      <w:pPr>
        <w:pStyle w:val="ListParagraph"/>
        <w:numPr>
          <w:ilvl w:val="0"/>
          <w:numId w:val="2"/>
        </w:numPr>
        <w:spacing w:after="80"/>
      </w:pPr>
      <w:r>
        <w:t xml:space="preserve">Reach out to at least one silicon-anode micro-cell vendor to validate real-world energy density and pricing against the Section 7.7 estimates.</w:t>
      </w:r>
    </w:p>
    <w:p>
      <w:pPr>
        <w:pStyle w:val="ListParagraph"/>
        <w:numPr>
          <w:ilvl w:val="0"/>
          <w:numId w:val="2"/>
        </w:numPr>
        <w:spacing w:after="80"/>
      </w:pPr>
      <w:r>
        <w:t xml:space="preserve">Prototype the bridge-to-mainboard video link on a Wi-Fi-class or UWB dev kit to get a real power measurement in place of the Section 7.4 estimate.</w:t>
      </w:r>
    </w:p>
    <w:p>
      <w:pPr>
        <w:pStyle w:val="ListParagraph"/>
        <w:numPr>
          <w:ilvl w:val="0"/>
          <w:numId w:val="2"/>
        </w:numPr>
        <w:spacing w:after="80"/>
      </w:pPr>
      <w:r>
        <w:t xml:space="preserve">Sketch the temple-arm split-cell mechanical layout and confirm it doesn’t conflict with hinge mechanisms or wearer comfort.</w:t>
      </w:r>
    </w:p>
    <w:p>
      <w:pPr>
        <w:pStyle w:val="ListParagraph"/>
        <w:numPr>
          <w:ilvl w:val="0"/>
          <w:numId w:val="2"/>
        </w:numPr>
        <w:spacing w:after="80"/>
      </w:pPr>
      <w:r>
        <w:t xml:space="preserve">Validate TDM firmware cross-talk rejection across both eyes simultaneously.</w:t>
      </w:r>
    </w:p>
    <w:p>
      <w:pPr>
        <w:pStyle w:val="ListParagraph"/>
        <w:numPr>
          <w:ilvl w:val="0"/>
          <w:numId w:val="2"/>
        </w:numPr>
        <w:spacing w:after="80"/>
      </w:pPr>
      <w:r>
        <w:t xml:space="preserve">Re-confirm LTO cell and charge-rate assumptions once real current draw is known.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Engineering Spec (Working Draft,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2026-06-26T07:59:08.982Z</dcterms:created>
  <dcterms:modified xsi:type="dcterms:W3CDTF">2026-06-26T07:59:08.996Z</dcterms:modified>
</cp:coreProperties>
</file>

<file path=docProps/custom.xml><?xml version="1.0" encoding="utf-8"?>
<Properties xmlns="http://schemas.openxmlformats.org/officeDocument/2006/custom-properties" xmlns:vt="http://schemas.openxmlformats.org/officeDocument/2006/docPropsVTypes"/>
</file>