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color w:val="1F3864"/>
          <w:sz w:val="56"/>
          <w:szCs w:val="56"/>
        </w:rPr>
        <w:t xml:space="preserve">ReArm Candor</w:t>
      </w:r>
    </w:p>
    <w:p>
      <w:pPr>
        <w:spacing w:after="300"/>
      </w:pPr>
      <w:r>
        <w:rPr>
          <w:color w:val="595959"/>
          <w:sz w:val="28"/>
          <w:szCs w:val="28"/>
        </w:rPr>
        <w:t xml:space="preserve">Engineering Specification — Working Draft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1"/>
                <w:szCs w:val="21"/>
              </w:rPr>
              <w:t xml:space="preserve">Field</w:t>
            </w:r>
          </w:p>
        </w:tc>
        <w:tc>
          <w:tcPr>
            <w:tcW w:type="dxa" w:w="69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1"/>
                <w:szCs w:val="21"/>
              </w:rPr>
              <w:t xml:space="preserve">Value</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Document title</w:t>
            </w:r>
          </w:p>
        </w:tc>
        <w:tc>
          <w:tcPr>
            <w:tcW w:type="dxa" w:w="6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ReArm Candor — Engineering Specification</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Version</w:t>
            </w:r>
          </w:p>
        </w:tc>
        <w:tc>
          <w:tcPr>
            <w:tcW w:type="dxa" w:w="6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v0.5 (working draft — supersedes v0.4)</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Status</w:t>
            </w:r>
          </w:p>
        </w:tc>
        <w:tc>
          <w:tcPr>
            <w:tcW w:type="dxa" w:w="6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Draft — added on-board vision chip for image-to-coordinate conversion, removing raw video from the wireless link; power budget and radio choice both revised; not bench-validated</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Owner</w:t>
            </w:r>
          </w:p>
        </w:tc>
        <w:tc>
          <w:tcPr>
            <w:tcW w:type="dxa" w:w="6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Shemaiah Osuchukwu, Founder &amp; CTO, ReArm</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Last updated</w:t>
            </w:r>
          </w:p>
        </w:tc>
        <w:tc>
          <w:tcPr>
            <w:tcW w:type="dxa" w:w="6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26 June 2026</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Distribution</w:t>
            </w:r>
          </w:p>
        </w:tc>
        <w:tc>
          <w:tcPr>
            <w:tcW w:type="dxa" w:w="6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Internal / maker use only — not for external release</w:t>
            </w:r>
          </w:p>
        </w:tc>
      </w:tr>
    </w:tbl>
    <w:p>
      <w:r>
        <w:br w:type="page"/>
      </w:r>
    </w:p>
    <w:p>
      <w:pPr>
        <w:pStyle w:val="Heading1"/>
      </w:pPr>
      <w:r>
        <w:t xml:space="preserve">1. Product Overview</w:t>
      </w:r>
    </w:p>
    <w:p>
      <w:pPr>
        <w:spacing w:after="160"/>
      </w:pPr>
      <w:r>
        <w:t xml:space="preserve">ReArm Candor is a smart-eyewear bridge module for prescription or cosmetic glasses that adds two capabilities: outward-facing stereo (RGB + IR-assisted) scene sensing, and inward-facing binocular gaze tracking of the wearer’s eyes — each converted to coordinates on the bridge module itself, then sent to a companion mainboard for final fusion (what is the wearer looking at, and how far away is it).</w:t>
      </w:r>
    </w:p>
    <w:p>
      <w:pPr>
        <w:pStyle w:val="ListParagraph"/>
        <w:numPr>
          <w:ilvl w:val="0"/>
          <w:numId w:val="2"/>
        </w:numPr>
        <w:spacing w:after="80"/>
      </w:pPr>
      <w:r>
        <w:t xml:space="preserve">Bridge module integrates cleanly into the glasses’ nose bridge with a premium, CNC-machined finish — no exposed screws or visible wiring.</w:t>
      </w:r>
    </w:p>
    <w:p>
      <w:pPr>
        <w:pStyle w:val="ListParagraph"/>
        <w:numPr>
          <w:ilvl w:val="0"/>
          <w:numId w:val="2"/>
        </w:numPr>
        <w:spacing w:after="80"/>
      </w:pPr>
      <w:r>
        <w:t xml:space="preserve">A small on-board vision chip converts the front camera images into coordinates (the position of whatever the system has detected in the scene) rather than streaming raw video off the device — no image data leaves the bridge module, and none is stored anywhere in the pipeline.</w:t>
      </w:r>
    </w:p>
    <w:p>
      <w:pPr>
        <w:pStyle w:val="ListParagraph"/>
        <w:numPr>
          <w:ilvl w:val="0"/>
          <w:numId w:val="2"/>
        </w:numPr>
        <w:spacing w:after="80"/>
      </w:pPr>
      <w:r>
        <w:t xml:space="preserve">Inward gaze sensing must not use inward-facing cameras (privacy, power, and thickness) — use a flat IR photodiode array instead, which already outputs gaze coordinates directly (Section 4).</w:t>
      </w:r>
    </w:p>
    <w:p>
      <w:pPr>
        <w:pStyle w:val="ListParagraph"/>
        <w:numPr>
          <w:ilvl w:val="0"/>
          <w:numId w:val="2"/>
        </w:numPr>
        <w:spacing w:after="80"/>
      </w:pPr>
      <w:r>
        <w:t xml:space="preserve">A gyroscope (as part of a 6-axis IMU) tracks head pitch, yaw, and roll, so the system knows whether the wearer is looking up, down, or to either side, independent of the gaze array.</w:t>
      </w:r>
    </w:p>
    <w:p>
      <w:pPr>
        <w:pStyle w:val="ListParagraph"/>
        <w:numPr>
          <w:ilvl w:val="0"/>
          <w:numId w:val="2"/>
        </w:numPr>
        <w:spacing w:after="80"/>
      </w:pPr>
      <w:r>
        <w:t xml:space="preserve">The wireless link to the mainboard carries three small, fixed-size streams — gaze coordinates, image-derived coordinates, and gyro orientation — not raw imagery. The mainboard fuses these into the final “what is being looked at, and how far away” result.</w:t>
      </w:r>
    </w:p>
    <w:p>
      <w:pPr>
        <w:pStyle w:val="ListParagraph"/>
        <w:numPr>
          <w:ilvl w:val="0"/>
          <w:numId w:val="2"/>
        </w:numPr>
        <w:spacing w:after="80"/>
      </w:pPr>
      <w:r>
        <w:t xml:space="preserve">Minimum standalone runtime: 24 hours per charge. All communication encrypted end-to-end.</w:t>
      </w:r>
    </w:p>
    <w:p>
      <w:pPr>
        <w:pBdr>
          <w:left w:val="single" w:color="2E75B6" w:sz="12" w:space="8"/>
        </w:pBdr>
        <w:spacing w:after="200" w:before="60"/>
        <w:ind w:left="120"/>
      </w:pPr>
      <w:r>
        <w:rPr>
          <w:i/>
          <w:iCs/>
          <w:color w:val="595959"/>
          <w:sz w:val="21"/>
          <w:szCs w:val="21"/>
        </w:rPr>
        <w:t xml:space="preserve">ASSUMPTION: this revision assumes the on-board vision chip’s coordinate extraction is lightweight enough to run continuously on the bridge module (Section 3), and that final fusion of the three coordinate streams happens on the mainboard (Section 6), not on the bridge itself. It also assumes the rear gaze array stays the low-power IR photodiode design from Section 4. Flag any of these if they don’t match intent.</w:t>
      </w:r>
    </w:p>
    <w:p>
      <w:pPr>
        <w:pBdr>
          <w:left w:val="single" w:color="C00000" w:sz="12" w:space="8"/>
        </w:pBdr>
        <w:spacing w:after="240" w:before="80"/>
        <w:ind w:left="120"/>
      </w:pPr>
      <w:r>
        <w:rPr>
          <w:b/>
          <w:bCs/>
          <w:color w:val="C00000"/>
          <w:sz w:val="21"/>
          <w:szCs w:val="21"/>
        </w:rPr>
        <w:t xml:space="preserve">v0.5: moving image-to-coordinate conversion onto the bridge module removes the need to stream raw video over the wireless link at all. This meaningfully shrinks both the power budget (Section 7) and the wireless link’s bandwidth requirement (Section 9) compared to v0.3/v0.4, and improves the privacy story (Section 5 of the compliance specification) — but it reintroduces a small on-board vision processor, and trades some object-recognition accuracy/capability for that power saving (see Section 3’s trade-off note).</w:t>
      </w:r>
    </w:p>
    <w:p>
      <w:pPr>
        <w:pStyle w:val="Heading1"/>
      </w:pPr>
      <w:r>
        <w:t xml:space="preserve">2. System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60"/>
        <w:gridCol w:w="2600"/>
      </w:tblGrid>
      <w:tr>
        <w:tc>
          <w:tcPr>
            <w:tcW w:type="dxa" w:w="24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1"/>
                <w:szCs w:val="21"/>
              </w:rPr>
              <w:t xml:space="preserve">Component</w:t>
            </w:r>
          </w:p>
        </w:tc>
        <w:tc>
          <w:tcPr>
            <w:tcW w:type="dxa" w:w="43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1"/>
                <w:szCs w:val="21"/>
              </w:rPr>
              <w:t xml:space="preserve">Role</w:t>
            </w:r>
          </w:p>
        </w:tc>
        <w:tc>
          <w:tcPr>
            <w:tcW w:type="dxa" w:w="26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1"/>
                <w:szCs w:val="21"/>
              </w:rPr>
              <w:t xml:space="preserve">Notes</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Bridge Module (on the glasses)</w:t>
            </w:r>
          </w:p>
        </w:tc>
        <w:tc>
          <w:tcPr>
            <w:tcW w:type="dxa" w:w="4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Outward scene-to-coordinates extraction + inward binocular gaze-to-coordinates extraction + gyro orientation</w:t>
            </w:r>
          </w:p>
        </w:tc>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Sends three small coordinate streams, not raw imagery</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Companion Mainboard (carried / placed)</w:t>
            </w:r>
          </w:p>
        </w:tc>
        <w:tc>
          <w:tcPr>
            <w:tcW w:type="dxa" w:w="4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Fuses the three coordinate streams into the final point-of-regard/object result; lighter compute load than a full image ML pipeline</w:t>
            </w:r>
          </w:p>
        </w:tc>
        <w:tc>
          <w:tcPr>
            <w:tcW w:type="dxa" w:w="2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Larger battery; role simplified versus v0.3/v0.4</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Charging Case (accessory)</w:t>
            </w:r>
          </w:p>
        </w:tc>
        <w:tc>
          <w:tcPr>
            <w:tcW w:type="dxa" w:w="4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Reservoir battery, Qi receiver coil, multi-cell pogo-pin dock</w:t>
            </w:r>
          </w:p>
        </w:tc>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Concept unchanged from v0.4</w:t>
            </w:r>
          </w:p>
        </w:tc>
      </w:tr>
    </w:tbl>
    <w:p>
      <w:pPr>
        <w:spacing w:after="100" w:before="200"/>
      </w:pPr>
      <w:r>
        <w:rPr>
          <w:b/>
          <w:bCs/>
        </w:rPr>
        <w:t xml:space="preserve">Data flow:</w:t>
      </w:r>
    </w:p>
    <w:p>
      <w:pPr>
        <w:spacing w:after="160"/>
      </w:pPr>
      <w:r>
        <w:t xml:space="preserve">The front vision chip converts the camera images into coordinates — the position of whatever it has detected in the scene — directly on the bridge module. The rear photodiode array independently produces gaze coordinates: each eye’s gaze vector, blink, pupil size, eye openness, and vergence (fixation distance, from the angle between the two gaze vectors). The gyro adds head orientation. All three — image coordinates, gaze coordinates, and orientation — are sent to the mainboard as small, fixed-size packets, where they are fused into the final result: what the wearer is looking at, and how far away it is. No raw video and no raw photodiode traces are sent over the link or stored anywhere.</w:t>
      </w:r>
    </w:p>
    <w:p>
      <w:pPr>
        <w:pStyle w:val="Heading1"/>
      </w:pPr>
      <w:r>
        <w:t xml:space="preserve">3. Bridge Module — Front-Facing Stack (outward, away from the eyes)</w:t>
      </w:r>
    </w:p>
    <w:p>
      <w:pPr>
        <w:spacing w:after="160"/>
      </w:pPr>
      <w:r>
        <w:t xml:space="preserve">Per the reference render: a single horizontal bridge housing spans the nose, with two RGB/IR-assisted camera lenses, illumination elements, and a status indicator visible on the outward face.</w:t>
      </w:r>
    </w:p>
    <w:p>
      <w:pPr>
        <w:pStyle w:val="ListParagraph"/>
        <w:numPr>
          <w:ilvl w:val="0"/>
          <w:numId w:val="2"/>
        </w:numPr>
        <w:spacing w:after="80"/>
      </w:pPr>
      <w:r>
        <w:t xml:space="preserve">Stereo RGB/IR-assisted camera pair — captures the live scene continuously, feeding the on-board vision chip directly; frames are not transmitted off the bridge module.</w:t>
      </w:r>
    </w:p>
    <w:p>
      <w:pPr>
        <w:pStyle w:val="ListParagraph"/>
        <w:numPr>
          <w:ilvl w:val="0"/>
          <w:numId w:val="2"/>
        </w:numPr>
        <w:spacing w:after="80"/>
      </w:pPr>
      <w:r>
        <w:t xml:space="preserve">On-board vision/coordinate-extraction chip — e.g. an always-on, ultra-low-power AI vision SoC such as the Himax WiseEye2 (HX6538) class. Converts the camera feed into coordinates (the position of whatever it detects) on-device, so only that small result needs to leave the bridge module. This class of chip is purpose-built for continuous, low-power vision tasks in wearables; real power and accuracy figures depend on the final part and model chosen — see Section 7 for the budget and the trade-off note below.</w:t>
      </w:r>
    </w:p>
    <w:p>
      <w:pPr>
        <w:pStyle w:val="ListParagraph"/>
        <w:numPr>
          <w:ilvl w:val="0"/>
          <w:numId w:val="2"/>
        </w:numPr>
        <w:spacing w:after="80"/>
      </w:pPr>
      <w:r>
        <w:t xml:space="preserve">IR illumination — for low-light scene capture (visible in the render; exact part TBD).</w:t>
      </w:r>
    </w:p>
    <w:p>
      <w:pPr>
        <w:pStyle w:val="ListParagraph"/>
        <w:numPr>
          <w:ilvl w:val="0"/>
          <w:numId w:val="2"/>
        </w:numPr>
        <w:spacing w:after="80"/>
      </w:pPr>
      <w:r>
        <w:t xml:space="preserve">6-axis IMU with gyroscope — e.g. Bosch BMI270 or ST LSM6DSOX class part. Tracks head pitch, yaw, and roll (looking up/down/side to side), independent of the gaze array. Negligible power cost: typical active draw is in the hundreds of microamps (well under 1 mW).</w:t>
      </w:r>
    </w:p>
    <w:p>
      <w:pPr>
        <w:pStyle w:val="ListParagraph"/>
        <w:numPr>
          <w:ilvl w:val="0"/>
          <w:numId w:val="2"/>
        </w:numPr>
        <w:spacing w:after="80"/>
      </w:pPr>
      <w:r>
        <w:t xml:space="preserve">Lightweight system MCU — sequences and packetizes the three coordinate streams (image, gaze, orientation) for the radio link; no longer needs to handle video compression, since no video leaves the device.</w:t>
      </w:r>
    </w:p>
    <w:p>
      <w:pPr>
        <w:pStyle w:val="ListParagraph"/>
        <w:numPr>
          <w:ilvl w:val="0"/>
          <w:numId w:val="2"/>
        </w:numPr>
        <w:spacing w:after="80"/>
      </w:pPr>
      <w:r>
        <w:t xml:space="preserve">Status LED — visible in the render; recommend reserving this as an active-sensing indicator (see the compliance specification’s bystander-privacy section).</w:t>
      </w:r>
    </w:p>
    <w:p>
      <w:pPr>
        <w:pBdr>
          <w:left w:val="single" w:color="2E75B6" w:sz="12" w:space="8"/>
        </w:pBdr>
        <w:spacing w:after="200" w:before="60"/>
        <w:ind w:left="120"/>
      </w:pPr>
      <w:r>
        <w:rPr>
          <w:i/>
          <w:iCs/>
          <w:color w:val="595959"/>
          <w:sz w:val="21"/>
          <w:szCs w:val="21"/>
        </w:rPr>
        <w:t xml:space="preserve">OPEN ITEM: exact camera modules, illumination part numbers, and — most importantly — the vision chip and its detection model are not yet specified. This is now the single highest-priority part-selection item, since it drives the power figure in Section 7 and the achievable detection accuracy.</w:t>
      </w:r>
    </w:p>
    <w:p>
      <w:pPr>
        <w:pBdr>
          <w:left w:val="single" w:color="2E75B6" w:sz="12" w:space="8"/>
        </w:pBdr>
        <w:spacing w:after="200" w:before="60"/>
        <w:ind w:left="120"/>
      </w:pPr>
      <w:r>
        <w:rPr>
          <w:i/>
          <w:iCs/>
          <w:color w:val="595959"/>
          <w:sz w:val="21"/>
          <w:szCs w:val="21"/>
        </w:rPr>
        <w:t xml:space="preserve">TRADE-OFF: an always-on, ultra-low-power vision chip is good at simple, well-defined detection tasks at low power, but it will generally support fewer object classes and lower accuracy than a full ML pipeline running on a more powerful processor (the v0.3/v0.4 approach). This is a deliberate power-for-capability trade, similar in spirit to the gaze-array trade-off in Section 4.7, and is worth confirming against the product’s actual detection requirements before committing to a specific chip.</w:t>
      </w:r>
    </w:p>
    <w:p>
      <w:pPr>
        <w:pStyle w:val="Heading1"/>
      </w:pPr>
      <w:r>
        <w:t xml:space="preserve">4. Bridge Module — Rear-Facing Stack: the Gaze Array (inward, toward the eyes)</w:t>
      </w:r>
    </w:p>
    <w:p>
      <w:pPr>
        <w:spacing w:after="160"/>
      </w:pPr>
      <w:r>
        <w:t xml:space="preserve">This replaces the previously open “gaze sensor” item from the original spec. Approach: a flat IR photodiode array per eye, with no inward-facing cameras, using differential reflectance off the sclera, iris, pupil, and eyelid to infer gaze (sometimes called photoscleral oculography).</w:t>
      </w:r>
    </w:p>
    <w:p>
      <w:pPr>
        <w:pStyle w:val="Heading2"/>
      </w:pPr>
      <w:r>
        <w:t xml:space="preserve">4.1 Per-eye sensor geometry</w:t>
      </w:r>
    </w:p>
    <w:p>
      <w:pPr>
        <w:pStyle w:val="ListParagraph"/>
        <w:numPr>
          <w:ilvl w:val="0"/>
          <w:numId w:val="2"/>
        </w:numPr>
        <w:spacing w:after="80"/>
      </w:pPr>
      <w:r>
        <w:t xml:space="preserve">16–32 IR photodiodes per eye, arranged as a 4×4 or 5×5 matrix, or as a simpler 4-node differential quadrant (top / bottom / left / right) around the eye perimeter.</w:t>
      </w:r>
    </w:p>
    <w:p>
      <w:pPr>
        <w:pStyle w:val="ListParagraph"/>
        <w:numPr>
          <w:ilvl w:val="0"/>
          <w:numId w:val="2"/>
        </w:numPr>
        <w:spacing w:after="80"/>
      </w:pPr>
      <w:r>
        <w:t xml:space="preserve">2–4 IR LEDs per eye, 940 nm — invisible to the human retina, avoiding glare or distraction.</w:t>
      </w:r>
    </w:p>
    <w:p>
      <w:pPr>
        <w:pStyle w:val="ListParagraph"/>
        <w:numPr>
          <w:ilvl w:val="0"/>
          <w:numId w:val="2"/>
        </w:numPr>
        <w:spacing w:after="80"/>
      </w:pPr>
      <w:r>
        <w:t xml:space="preserve">Both sit behind a flush, smoked IR-transparent window so nothing is visible from outside the lens — matching the reference render’s intent of looking like sealed consumer electronics rather than a visible sensor grid.</w:t>
      </w:r>
    </w:p>
    <w:p>
      <w:pPr>
        <w:pStyle w:val="Heading2"/>
      </w:pPr>
      <w:r>
        <w:t xml:space="preserve">4.2 Candidate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2200"/>
        <w:gridCol w:w="2160"/>
      </w:tblGrid>
      <w:tr>
        <w:tc>
          <w:tcPr>
            <w:tcW w:type="dxa" w:w="24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1"/>
                <w:szCs w:val="21"/>
              </w:rPr>
              <w:t xml:space="preserve">Component</w:t>
            </w:r>
          </w:p>
        </w:tc>
        <w:tc>
          <w:tcPr>
            <w:tcW w:type="dxa" w:w="26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1"/>
                <w:szCs w:val="21"/>
              </w:rPr>
              <w:t xml:space="preserve">Role</w:t>
            </w:r>
          </w:p>
        </w:tc>
        <w:tc>
          <w:tcPr>
            <w:tcW w:type="dxa" w:w="22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1"/>
                <w:szCs w:val="21"/>
              </w:rPr>
              <w:t xml:space="preserve">Package</w:t>
            </w:r>
          </w:p>
        </w:tc>
        <w:tc>
          <w:tcPr>
            <w:tcW w:type="dxa" w:w="21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1"/>
                <w:szCs w:val="21"/>
              </w:rPr>
              <w:t xml:space="preserve">Notes</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Vishay VEMD2704</w:t>
            </w:r>
          </w:p>
        </w:tc>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IR photodiode (receiver)</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2.3×2.3 mm leadless SMD</w:t>
            </w:r>
          </w:p>
        </w:tc>
        <w:tc>
          <w:tcPr>
            <w:tcW w:type="dxa" w:w="2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Daylight-blocking filter, 830–950 nm, ≈70 ns response — fast enough for saccades</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Everlight PD15-22C/TR8</w:t>
            </w:r>
          </w:p>
        </w:tc>
        <w:tc>
          <w:tcPr>
            <w:tcW w:type="dxa" w:w="2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IR photodiode, lower-cost alternative</w:t>
            </w:r>
          </w:p>
        </w:tc>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1206 SMD</w:t>
            </w:r>
          </w:p>
        </w:tc>
        <w:tc>
          <w:tcPr>
            <w:tcW w:type="dxa" w:w="2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Tuned to 940 nm</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Kingbright APED3528F3C</w:t>
            </w:r>
          </w:p>
        </w:tc>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IR emitter (LED)</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SMD, dome lens</w:t>
            </w:r>
          </w:p>
        </w:tc>
        <w:tc>
          <w:tcPr>
            <w:tcW w:type="dxa" w:w="2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940 nm, 35° beam — reduces sideways leakage into the adjacent photodiode</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SunLED XZMYK53W-8</w:t>
            </w:r>
          </w:p>
        </w:tc>
        <w:tc>
          <w:tcPr>
            <w:tcW w:type="dxa" w:w="2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IR emitter, thinner alternative</w:t>
            </w:r>
          </w:p>
        </w:tc>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0603/0805 SMD</w:t>
            </w:r>
          </w:p>
        </w:tc>
        <w:tc>
          <w:tcPr>
            <w:tcW w:type="dxa" w:w="2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Lower power, for the thinnest frame sections</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74HC4051 / CD4051B</w:t>
            </w:r>
          </w:p>
        </w:tc>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8-channel analogue multiplexer</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TSSOP/QFN SMD</w:t>
            </w:r>
          </w:p>
        </w:tc>
        <w:tc>
          <w:tcPr>
            <w:tcW w:type="dxa" w:w="2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Routes multiple photodiodes into one ADC pin</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74HC595</w:t>
            </w:r>
          </w:p>
        </w:tc>
        <w:tc>
          <w:tcPr>
            <w:tcW w:type="dxa" w:w="2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Shift register</w:t>
            </w:r>
          </w:p>
        </w:tc>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SMD</w:t>
            </w:r>
          </w:p>
        </w:tc>
        <w:tc>
          <w:tcPr>
            <w:tcW w:type="dxa" w:w="2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Sequences LED firing from a few control pins</w:t>
            </w:r>
          </w:p>
        </w:tc>
      </w:tr>
    </w:tbl>
    <w:p>
      <w:pPr>
        <w:pStyle w:val="Heading2"/>
      </w:pPr>
      <w:r>
        <w:t xml:space="preserve">4.3 Orientation &amp; cross-talk control</w:t>
      </w:r>
    </w:p>
    <w:p>
      <w:pPr>
        <w:pStyle w:val="ListParagraph"/>
        <w:numPr>
          <w:ilvl w:val="0"/>
          <w:numId w:val="2"/>
        </w:numPr>
        <w:spacing w:after="80"/>
      </w:pPr>
      <w:r>
        <w:t xml:space="preserve">Tilt each LED/photodiode pair toward the eye in a shallow “V”: LED ≈+15°, photodiode ≈-15°, so the sensed reflection comes from the eyeball surface, not a direct LED-to-photodiode bounce.</w:t>
      </w:r>
    </w:p>
    <w:p>
      <w:pPr>
        <w:pStyle w:val="ListParagraph"/>
        <w:numPr>
          <w:ilvl w:val="0"/>
          <w:numId w:val="2"/>
        </w:numPr>
        <w:spacing w:after="80"/>
      </w:pPr>
      <w:r>
        <w:t xml:space="preserve">Outer nodes (temple side) tilt steeper, ≈20–25°; inner nodes (nose-bridge side) tilt shallower, ≈10–15°, so they don’t flood with reflections off the skin of the nose.</w:t>
      </w:r>
    </w:p>
    <w:p>
      <w:pPr>
        <w:pStyle w:val="ListParagraph"/>
        <w:numPr>
          <w:ilvl w:val="0"/>
          <w:numId w:val="2"/>
        </w:numPr>
        <w:spacing w:after="80"/>
      </w:pPr>
      <w:r>
        <w:t xml:space="preserve">A small physical divider rib between each LED/photodiode pair blocks direct surface light leakage.</w:t>
      </w:r>
    </w:p>
    <w:p>
      <w:pPr>
        <w:pStyle w:val="ListParagraph"/>
        <w:numPr>
          <w:ilvl w:val="0"/>
          <w:numId w:val="2"/>
        </w:numPr>
        <w:spacing w:after="80"/>
      </w:pPr>
      <w:r>
        <w:t xml:space="preserve">For binocular operation, mirror the geometry across the bridge — left and right assemblies are separate, independently tuned zones, which simplifies calibration and cross-talk control versus one shared central array.</w:t>
      </w:r>
    </w:p>
    <w:p>
      <w:pPr>
        <w:pStyle w:val="Heading2"/>
      </w:pPr>
      <w:r>
        <w:t xml:space="preserve">4.4 Firmware: time-division multiplexing</w:t>
      </w:r>
    </w:p>
    <w:p>
      <w:pPr>
        <w:spacing w:after="160"/>
      </w:pPr>
      <w:r>
        <w:t xml:space="preserve">Do not run all LEDs simultaneously — cross-talk between channels, and between the two eyes, makes the readings unusable. Strobe one LED, read its matching photodiode, then move to the next node, cycling through all nodes for both eyes. Photodiodes in this class respond in well under 100 ns, so a full multi-node cycle across both eyes can complete in under 1 ms, putting the theoretical sampling rate into the kHz range — confirm the achievable rate once the real component count and microcontroller ADC budget are fixed.</w:t>
      </w:r>
    </w:p>
    <w:p>
      <w:pPr>
        <w:pStyle w:val="Heading2"/>
      </w:pPr>
      <w:r>
        <w:t xml:space="preserve">4.5 Derived outputs</w:t>
      </w:r>
    </w:p>
    <w:p>
      <w:pPr>
        <w:pStyle w:val="ListParagraph"/>
        <w:numPr>
          <w:ilvl w:val="0"/>
          <w:numId w:val="2"/>
        </w:numPr>
        <w:spacing w:after="80"/>
      </w:pPr>
      <w:r>
        <w:t xml:space="preserve">Left-eye gaze vector, right-eye gaze vector.</w:t>
      </w:r>
    </w:p>
    <w:p>
      <w:pPr>
        <w:pStyle w:val="ListParagraph"/>
        <w:numPr>
          <w:ilvl w:val="0"/>
          <w:numId w:val="2"/>
        </w:numPr>
        <w:spacing w:after="80"/>
      </w:pPr>
      <w:r>
        <w:t xml:space="preserve">Blink detection, eye openness.</w:t>
      </w:r>
    </w:p>
    <w:p>
      <w:pPr>
        <w:pStyle w:val="ListParagraph"/>
        <w:numPr>
          <w:ilvl w:val="0"/>
          <w:numId w:val="2"/>
        </w:numPr>
        <w:spacing w:after="80"/>
      </w:pPr>
      <w:r>
        <w:t xml:space="preserve">Approximate pupil size.</w:t>
      </w:r>
    </w:p>
    <w:p>
      <w:pPr>
        <w:pStyle w:val="ListParagraph"/>
        <w:numPr>
          <w:ilvl w:val="0"/>
          <w:numId w:val="2"/>
        </w:numPr>
        <w:spacing w:after="80"/>
      </w:pPr>
      <w:r>
        <w:t xml:space="preserve">Vergence (from the angle between the two gaze vectors) → fixation distance, with no extra eye-side depth hardware.</w:t>
      </w:r>
    </w:p>
    <w:p>
      <w:pPr>
        <w:pStyle w:val="ListParagraph"/>
        <w:numPr>
          <w:ilvl w:val="0"/>
          <w:numId w:val="2"/>
        </w:numPr>
        <w:spacing w:after="80"/>
      </w:pPr>
      <w:r>
        <w:t xml:space="preserve">Approximate eye-to-lens distance for calibration (roughly 12–17 mm range).</w:t>
      </w:r>
    </w:p>
    <w:p>
      <w:pPr>
        <w:pStyle w:val="Heading2"/>
      </w:pPr>
      <w:r>
        <w:t xml:space="preserve">4.6 Fusion with the front camera stream</w:t>
      </w:r>
    </w:p>
    <w:p>
      <w:pPr>
        <w:spacing w:after="160"/>
      </w:pPr>
      <w:r>
        <w:t xml:space="preserve">Vergence alone estimates how far away the fixation point is; combining the gaze coordinates with the image-derived coordinates from the front vision chip (Section 3) and the gyro’s orientation lets the system identify which actual object is being looked at, not just how far away it sits. Per this revision, the bridge module sends all three as independent coordinate streams; final fusion happens on the mainboard (Section 6).</w:t>
      </w:r>
    </w:p>
    <w:p>
      <w:pPr>
        <w:pStyle w:val="Heading2"/>
      </w:pPr>
      <w:r>
        <w:t xml:space="preserve">4.7 Accuracy trade-off</w:t>
      </w:r>
    </w:p>
    <w:p>
      <w:pPr>
        <w:spacing w:after="160"/>
      </w:pPr>
      <w:r>
        <w:t xml:space="preserve">Flat photodiode arrays trade spatial resolution and calibration simplicity for a large win in power, thickness, and privacy versus inward-facing cameras. They suit interaction, accessibility, and attention-tracking use cases well. If the product’s target is sub-degree gaze accuracy for scientific or high-end AR applications, inward-facing IR cameras remain the more proven approach — make this trade-off explicitly and document it before committing to the photodiode approach in tooling or production.</w:t>
      </w:r>
    </w:p>
    <w:p>
      <w:pPr>
        <w:pStyle w:val="Heading1"/>
      </w:pPr>
      <w:r>
        <w:t xml:space="preserve">5. Industrial Design Direction (from reference renders)</w:t>
      </w:r>
    </w:p>
    <w:p>
      <w:pPr>
        <w:pStyle w:val="ListParagraph"/>
        <w:numPr>
          <w:ilvl w:val="0"/>
          <w:numId w:val="2"/>
        </w:numPr>
        <w:spacing w:after="80"/>
      </w:pPr>
      <w:r>
        <w:t xml:space="preserve">CNC-machined aluminum housing, matte black anodized finish.</w:t>
      </w:r>
    </w:p>
    <w:p>
      <w:pPr>
        <w:pStyle w:val="ListParagraph"/>
        <w:numPr>
          <w:ilvl w:val="0"/>
          <w:numId w:val="2"/>
        </w:numPr>
        <w:spacing w:after="80"/>
      </w:pPr>
      <w:r>
        <w:t xml:space="preserve">Front face: two camera lenses, illumination/status elements, a low-profile horizontal bridge bar.</w:t>
      </w:r>
    </w:p>
    <w:p>
      <w:pPr>
        <w:pStyle w:val="ListParagraph"/>
        <w:numPr>
          <w:ilvl w:val="0"/>
          <w:numId w:val="2"/>
        </w:numPr>
        <w:spacing w:after="80"/>
      </w:pPr>
      <w:r>
        <w:t xml:space="preserve">Rear face: two independent eye zones, each a flush smoked IR-transparent window with the photodiode/LED matrix hidden behind it, separated by a narrow central electronics section.</w:t>
      </w:r>
    </w:p>
    <w:p>
      <w:pPr>
        <w:pStyle w:val="ListParagraph"/>
        <w:numPr>
          <w:ilvl w:val="0"/>
          <w:numId w:val="2"/>
        </w:numPr>
        <w:spacing w:after="80"/>
      </w:pPr>
      <w:r>
        <w:t xml:space="preserve">No exposed screws, no visible wiring, no labels, logos, or text on the housing.</w:t>
      </w:r>
    </w:p>
    <w:p>
      <w:pPr>
        <w:pStyle w:val="ListParagraph"/>
        <w:numPr>
          <w:ilvl w:val="0"/>
          <w:numId w:val="2"/>
        </w:numPr>
        <w:spacing w:after="80"/>
      </w:pPr>
      <w:r>
        <w:t xml:space="preserve">Target fit-and-finish benchmark from the design brief: premium consumer-electronics tier rather than a visible “sensor panel.”</w:t>
      </w:r>
    </w:p>
    <w:p>
      <w:pPr>
        <w:pStyle w:val="Heading1"/>
      </w:pPr>
      <w:r>
        <w:t xml:space="preserve">6. Companion Mainboard</w:t>
      </w:r>
    </w:p>
    <w:p>
      <w:pPr>
        <w:spacing w:after="160"/>
      </w:pPr>
      <w:r>
        <w:t xml:space="preserve">Lighter role than v0.3/v0.4: the heavy image-processing/object-detection work has moved to the bridge module’s on-board vision chip (Section 3). The mainboard now mainly fuses three small coordinate streams rather than running a full ML pipeline on raw video.</w:t>
      </w:r>
    </w:p>
    <w:p>
      <w:pPr>
        <w:pStyle w:val="ListParagraph"/>
        <w:numPr>
          <w:ilvl w:val="0"/>
          <w:numId w:val="2"/>
        </w:numPr>
        <w:spacing w:after="80"/>
      </w:pPr>
      <w:r>
        <w:t xml:space="preserve">Radio: reverts toward the original Nordic nRF52840-class BLE/ESB radio (Section 9) — the payload is small coordinate packets again, not a continuous video stream.</w:t>
      </w:r>
    </w:p>
    <w:p>
      <w:pPr>
        <w:pStyle w:val="ListParagraph"/>
        <w:numPr>
          <w:ilvl w:val="0"/>
          <w:numId w:val="2"/>
        </w:numPr>
        <w:spacing w:after="80"/>
      </w:pPr>
      <w:r>
        <w:t xml:space="preserve">Antenna: SMA or U.FL connector with a flexible 2.4 GHz patch/“rubber duck” antenna.</w:t>
      </w:r>
    </w:p>
    <w:p>
      <w:pPr>
        <w:pStyle w:val="ListParagraph"/>
        <w:numPr>
          <w:ilvl w:val="0"/>
          <w:numId w:val="2"/>
        </w:numPr>
        <w:spacing w:after="80"/>
      </w:pPr>
      <w:r>
        <w:t xml:space="preserve">Battery: standard LiPo, ≈1000 mAh class — size and weight are not constrained here, and the compute load is now lighter than the v0.3/v0.4 full-image-ML approach.</w:t>
      </w:r>
    </w:p>
    <w:p>
      <w:pPr>
        <w:pStyle w:val="ListParagraph"/>
        <w:numPr>
          <w:ilvl w:val="0"/>
          <w:numId w:val="2"/>
        </w:numPr>
        <w:spacing w:after="80"/>
      </w:pPr>
      <w:r>
        <w:t xml:space="preserve">Firmware/software role: receive the bridge module’s three coordinate streams (image-derived, gaze, orientation), fuse them into the final point-of-regard/object result, and process it — with no image data ever received or stored, since none is transmitted.</w:t>
      </w:r>
    </w:p>
    <w:p>
      <w:pPr>
        <w:pBdr>
          <w:left w:val="single" w:color="2E75B6" w:sz="12" w:space="8"/>
        </w:pBdr>
        <w:spacing w:after="200" w:before="60"/>
        <w:ind w:left="120"/>
      </w:pPr>
      <w:r>
        <w:rPr>
          <w:i/>
          <w:iCs/>
          <w:color w:val="595959"/>
          <w:sz w:val="21"/>
          <w:szCs w:val="21"/>
        </w:rPr>
        <w:t xml:space="preserve">This is a deliberately lighter mainboard role than v0.3/v0.4 assumed. If the product later needs heavier, more accurate object recognition than the bridge’s on-board vision chip can provide (Section 3’s trade-off note), a secondary, more capable model could still run on the mainboard — but that would mean reintroducing some form of image transmission and revisiting this section.</w:t>
      </w:r>
    </w:p>
    <w:p>
      <w:pPr>
        <w:pStyle w:val="Heading1"/>
      </w:pPr>
      <w:r>
        <w:t xml:space="preserve">7. Power Budget, Battery Life &amp; Fast-Charge Calculations</w:t>
      </w:r>
    </w:p>
    <w:p>
      <w:pPr>
        <w:pStyle w:val="Heading2"/>
      </w:pPr>
      <w:r>
        <w:t xml:space="preserve">7.1 What changed in this revision</w:t>
      </w:r>
    </w:p>
    <w:p>
      <w:pPr>
        <w:spacing w:after="160"/>
      </w:pPr>
      <w:r>
        <w:t xml:space="preserve">Adding a small on-board vision chip that converts camera images into coordinates removes the need to stream raw video over the wireless link at all. The bridge module now sends three small, fixed-size streams — image-derived coordinates, gaze coordinates, and gyro orientation — instead of continuous video. That lets the radio revert to a lightweight coordinate-packet link (Section 9), which was the single biggest power cost in v0.4.</w:t>
      </w:r>
    </w:p>
    <w:p>
      <w:pPr>
        <w:pBdr>
          <w:left w:val="single" w:color="2E75B6" w:sz="12" w:space="8"/>
        </w:pBdr>
        <w:spacing w:after="200" w:before="60"/>
        <w:ind w:left="120"/>
      </w:pPr>
      <w:r>
        <w:rPr>
          <w:i/>
          <w:iCs/>
          <w:color w:val="595959"/>
          <w:sz w:val="21"/>
          <w:szCs w:val="21"/>
        </w:rPr>
        <w:t xml:space="preserve">These remain component-class engineering estimates, not measured figures — final numbers depend on the vision chip, camera, and radio parts ultimately chosen (Section 3, 9, 10). The rear gaze array and idle floor are unaffected by this change.</w:t>
      </w:r>
    </w:p>
    <w:p>
      <w:pPr>
        <w:pStyle w:val="Heading2"/>
      </w:pPr>
      <w:r>
        <w:t xml:space="preserve">7.2 Revised power draw, active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200"/>
        <w:gridCol w:w="3760"/>
      </w:tblGrid>
      <w:tr>
        <w:tc>
          <w:tcPr>
            <w:tcW w:type="dxa" w:w="34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1"/>
                <w:szCs w:val="21"/>
              </w:rPr>
              <w:t xml:space="preserve">Subsystem</w:t>
            </w:r>
          </w:p>
        </w:tc>
        <w:tc>
          <w:tcPr>
            <w:tcW w:type="dxa" w:w="22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1"/>
                <w:szCs w:val="21"/>
              </w:rPr>
              <w:t xml:space="preserve">Est. avg draw</w:t>
            </w:r>
          </w:p>
        </w:tc>
        <w:tc>
          <w:tcPr>
            <w:tcW w:type="dxa" w:w="37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1"/>
                <w:szCs w:val="21"/>
              </w:rPr>
              <w:t xml:space="preserve">Basis</w:t>
            </w:r>
          </w:p>
        </w:tc>
      </w:tr>
      <w:tr>
        <w:tc>
          <w:tcPr>
            <w:tcW w:type="dxa" w:w="3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Front camera pair + on-board vision/coordinate-extraction chip</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40 mW</w:t>
            </w:r>
          </w:p>
        </w:tc>
        <w:tc>
          <w:tcPr>
            <w:tcW w:type="dxa" w:w="3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Always-on, ultra-low-power AI vision SoC class (e.g. Himax WiseEye2) — combined sensor capture + on-chip coordinate extraction; biggest remaining uncertainty pending real part/model benchmarking</w:t>
            </w:r>
          </w:p>
        </w:tc>
      </w:tr>
      <w:tr>
        <w:tc>
          <w:tcPr>
            <w:tcW w:type="dxa" w:w="3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Front IR illumination</w:t>
            </w:r>
          </w:p>
        </w:tc>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15 mW</w:t>
            </w:r>
          </w:p>
        </w:tc>
        <w:tc>
          <w:tcPr>
            <w:tcW w:type="dxa" w:w="37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Unchanged from v0.4’s optimized figure</w:t>
            </w:r>
          </w:p>
        </w:tc>
      </w:tr>
      <w:tr>
        <w:tc>
          <w:tcPr>
            <w:tcW w:type="dxa" w:w="3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Rear IR gaze array (photodiodes + LEDs, TDM-scanned)</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15 mW</w:t>
            </w:r>
          </w:p>
        </w:tc>
        <w:tc>
          <w:tcPr>
            <w:tcW w:type="dxa" w:w="3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Unchanged — already coordinate-output, genuinely low-power</w:t>
            </w:r>
          </w:p>
        </w:tc>
      </w:tr>
      <w:tr>
        <w:tc>
          <w:tcPr>
            <w:tcW w:type="dxa" w:w="3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6-axis IMU with gyroscope</w:t>
            </w:r>
          </w:p>
        </w:tc>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&lt;1 mW</w:t>
            </w:r>
          </w:p>
        </w:tc>
        <w:tc>
          <w:tcPr>
            <w:tcW w:type="dxa" w:w="37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Unchanged</w:t>
            </w:r>
          </w:p>
        </w:tc>
      </w:tr>
      <w:tr>
        <w:tc>
          <w:tcPr>
            <w:tcW w:type="dxa" w:w="3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On-board system MCU (packetizes 3 coordinate streams)</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8 mW</w:t>
            </w:r>
          </w:p>
        </w:tc>
        <w:tc>
          <w:tcPr>
            <w:tcW w:type="dxa" w:w="3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Lighter than v0.4 — no video compression to handle</w:t>
            </w:r>
          </w:p>
        </w:tc>
      </w:tr>
      <w:tr>
        <w:tc>
          <w:tcPr>
            <w:tcW w:type="dxa" w:w="3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Wireless radio, coordinate-only payload (BLE/ESB-class, reverted from Wi-Fi-class)</w:t>
            </w:r>
          </w:p>
        </w:tc>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15 mW</w:t>
            </w:r>
          </w:p>
        </w:tc>
        <w:tc>
          <w:tcPr>
            <w:tcW w:type="dxa" w:w="37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Big saving — payload is now a small fixed packet, not a video stream</w:t>
            </w:r>
          </w:p>
        </w:tc>
      </w:tr>
      <w:tr>
        <w:tc>
          <w:tcPr>
            <w:tcW w:type="dxa" w:w="3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TOTAL, active</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 94 mW</w:t>
            </w:r>
          </w:p>
        </w:tc>
        <w:tc>
          <w:tcPr>
            <w:tcW w:type="dxa" w:w="3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≈39 mA at LTO’s ≈2.4 V nominal</w:t>
            </w:r>
          </w:p>
        </w:tc>
      </w:tr>
    </w:tbl>
    <w:p>
      <w:pPr>
        <w:spacing w:after="160"/>
      </w:pPr>
      <w:r>
        <w:t xml:space="preserve">Idle/standby is unaffected by this change — still ≈18 mW (≈7.5 mA), set by the always-on gaze array plus a minimal MCU/radio beacon.</w:t>
      </w:r>
    </w:p>
    <w:p>
      <w:pPr>
        <w:pStyle w:val="Heading2"/>
      </w:pPr>
      <w:r>
        <w:t xml:space="preserve">7.3 Before / after comparison against v0.4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330"/>
        <w:gridCol w:w="3330"/>
      </w:tblGrid>
      <w:tr>
        <w:tc>
          <w:tcPr>
            <w:tcW w:type="dxa" w:w="27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1"/>
                <w:szCs w:val="21"/>
              </w:rPr>
              <w:t xml:space="preserve">Duty cycle</w:t>
            </w:r>
          </w:p>
        </w:tc>
        <w:tc>
          <w:tcPr>
            <w:tcW w:type="dxa" w:w="333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1"/>
                <w:szCs w:val="21"/>
              </w:rPr>
              <w:t xml:space="preserve">v0.4 capacity needed (24 h)</w:t>
            </w:r>
          </w:p>
        </w:tc>
        <w:tc>
          <w:tcPr>
            <w:tcW w:type="dxa" w:w="333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1"/>
                <w:szCs w:val="21"/>
              </w:rPr>
              <w:t xml:space="preserve">v0.5 capacity needed (24 h)</w:t>
            </w:r>
          </w:p>
        </w:tc>
      </w:tr>
      <w:tr>
        <w:tc>
          <w:tcPr>
            <w:tcW w:type="dxa" w:w="2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100%</w:t>
            </w:r>
          </w:p>
        </w:tc>
        <w:tc>
          <w:tcPr>
            <w:tcW w:type="dxa" w:w="333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≈2,430 mAh</w:t>
            </w:r>
          </w:p>
        </w:tc>
        <w:tc>
          <w:tcPr>
            <w:tcW w:type="dxa" w:w="333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≈941 mAh (‑61%)</w:t>
            </w:r>
          </w:p>
        </w:tc>
      </w:tr>
      <w:tr>
        <w:tc>
          <w:tcPr>
            <w:tcW w:type="dxa" w:w="2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25%</w:t>
            </w:r>
          </w:p>
        </w:tc>
        <w:tc>
          <w:tcPr>
            <w:tcW w:type="dxa" w:w="333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≈740 mAh</w:t>
            </w:r>
          </w:p>
        </w:tc>
        <w:tc>
          <w:tcPr>
            <w:tcW w:type="dxa" w:w="333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≈370 mAh (‑50%)</w:t>
            </w:r>
          </w:p>
        </w:tc>
      </w:tr>
      <w:tr>
        <w:tc>
          <w:tcPr>
            <w:tcW w:type="dxa" w:w="2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10%</w:t>
            </w:r>
          </w:p>
        </w:tc>
        <w:tc>
          <w:tcPr>
            <w:tcW w:type="dxa" w:w="333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≈405 mAh</w:t>
            </w:r>
          </w:p>
        </w:tc>
        <w:tc>
          <w:tcPr>
            <w:tcW w:type="dxa" w:w="333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≈256 mAh (‑37%)</w:t>
            </w:r>
          </w:p>
        </w:tc>
      </w:tr>
      <w:tr>
        <w:tc>
          <w:tcPr>
            <w:tcW w:type="dxa" w:w="2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5%</w:t>
            </w:r>
          </w:p>
        </w:tc>
        <w:tc>
          <w:tcPr>
            <w:tcW w:type="dxa" w:w="333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≈290 mAh</w:t>
            </w:r>
          </w:p>
        </w:tc>
        <w:tc>
          <w:tcPr>
            <w:tcW w:type="dxa" w:w="333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≈218 mAh (‑25%)</w:t>
            </w:r>
          </w:p>
        </w:tc>
      </w:tr>
      <w:tr>
        <w:tc>
          <w:tcPr>
            <w:tcW w:type="dxa" w:w="2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0% (idle floor)</w:t>
            </w:r>
          </w:p>
        </w:tc>
        <w:tc>
          <w:tcPr>
            <w:tcW w:type="dxa" w:w="333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≈180 mAh</w:t>
            </w:r>
          </w:p>
        </w:tc>
        <w:tc>
          <w:tcPr>
            <w:tcW w:type="dxa" w:w="333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≈180 mAh (unchanged — set by the gaze array, not the cameras)</w:t>
            </w:r>
          </w:p>
        </w:tc>
      </w:tr>
    </w:tbl>
    <w:p>
      <w:pPr>
        <w:pBdr>
          <w:left w:val="single" w:color="C00000" w:sz="12" w:space="8"/>
        </w:pBdr>
        <w:spacing w:after="240" w:before="80"/>
        <w:ind w:left="120"/>
      </w:pPr>
      <w:r>
        <w:rPr>
          <w:b/>
          <w:bCs/>
          <w:color w:val="C00000"/>
          <w:sz w:val="21"/>
          <w:szCs w:val="21"/>
        </w:rPr>
        <w:t xml:space="preserve">HEADLINE: the on-board vision chip is a real win, and the win grows with duty cycle — up to a 61% capacity reduction at 100% active duty, versus 25% at a light 5% duty cycle. The floor stays at ≈180 mAh either way, since that’s set by the always-on gaze array, not the cameras or radio. The team still needs to pick a target duty cycle (Section 7.2’s active figure × that duty cycle, plus the idle floor) — this remains the single most consequential open decision.</w:t>
      </w:r>
    </w:p>
    <w:p>
      <w:pPr>
        <w:pStyle w:val="Heading2"/>
      </w:pPr>
      <w:r>
        <w:t xml:space="preserve">7.4 Other benefits of this change</w:t>
      </w:r>
    </w:p>
    <w:p>
      <w:pPr>
        <w:pStyle w:val="ListParagraph"/>
        <w:numPr>
          <w:ilvl w:val="0"/>
          <w:numId w:val="2"/>
        </w:numPr>
        <w:spacing w:after="80"/>
      </w:pPr>
      <w:r>
        <w:t xml:space="preserve">Wireless link: reverts to a BLE/ESB-class radio (Section 9), resolving the v0.3/v0.4 open item about needing a Wi-Fi-class or UWB radio for video.</w:t>
      </w:r>
    </w:p>
    <w:p>
      <w:pPr>
        <w:pStyle w:val="ListParagraph"/>
        <w:numPr>
          <w:ilvl w:val="0"/>
          <w:numId w:val="2"/>
        </w:numPr>
        <w:spacing w:after="80"/>
      </w:pPr>
      <w:r>
        <w:t xml:space="preserve">Privacy: no raw video ever leaves the bridge module, which softens several of the compliance specification’s v0.3 risk-register items (live-video-link interception, in particular) — see that document’s v0.5 update.</w:t>
      </w:r>
    </w:p>
    <w:p>
      <w:pPr>
        <w:pStyle w:val="ListParagraph"/>
        <w:numPr>
          <w:ilvl w:val="0"/>
          <w:numId w:val="2"/>
        </w:numPr>
        <w:spacing w:after="80"/>
      </w:pPr>
      <w:r>
        <w:t xml:space="preserve">Mainboard: lighter compute load, since it now fuses three small coordinate streams instead of running a full image-ML pipeline (Section 6).</w:t>
      </w:r>
    </w:p>
    <w:p>
      <w:pPr>
        <w:pStyle w:val="Heading2"/>
      </w:pPr>
      <w:r>
        <w:t xml:space="preserve">7.5 Structural recommendation: don’t put all of it in the bridge</w:t>
      </w:r>
    </w:p>
    <w:p>
      <w:pPr>
        <w:spacing w:after="160"/>
      </w:pPr>
      <w:r>
        <w:t xml:space="preserve">Even the lower ≈220–370 mAh range (5–25% duty) is larger than a true micro pin-cell. The recommendation from v0.4 still holds: split the target capacity into 2–3 smaller cells distributed across both temple arms (plus, optionally, a small buffer cell at the bridge itself for the gaze array’s always-on draw), rather than one large cell concentrated at the nose bridge — matching how production smart glasses (Ray-Ban Meta, Even Realities, and others) handle this same constraint.</w:t>
      </w:r>
    </w:p>
    <w:p>
      <w:pPr>
        <w:pStyle w:val="Heading2"/>
      </w:pPr>
      <w:r>
        <w:t xml:space="preserve">7.6 Battery chemistry — unchanged recommendation, lower stakes</w:t>
      </w:r>
    </w:p>
    <w:p>
      <w:pPr>
        <w:spacing w:after="160"/>
      </w:pPr>
      <w:r>
        <w:t xml:space="preserve">The chemistry comparison and recommendation from v0.4 (LTO as primary, silicon-anode as a smaller-cell option worth a vendor conversation, solid-state thin-film tracked for a future generation) still apply — see the v0.4 revision or the compliance specification for the full comparison table. The gap chemistry needs to close is now meaningfully smaller, which makes LTO’s lower energy density less of a constraint than it was in v0.4.</w:t>
      </w:r>
    </w:p>
    <w:p>
      <w:pPr>
        <w:pStyle w:val="Heading2"/>
      </w:pPr>
      <w:r>
        <w:t xml:space="preserve">7.7 Fast-charge feasibility at the revised target capacities</w:t>
      </w:r>
    </w:p>
    <w:p>
      <w:pPr>
        <w:spacing w:after="160"/>
      </w:pPr>
      <w:r>
        <w:t xml:space="preserve">Smaller required capacity also means smaller charge currents. At a representative 5% duty-cycle target (≈218 mAh) split across cells: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W w:type="dxa" w:w="32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1"/>
                <w:szCs w:val="21"/>
              </w:rPr>
              <w:t xml:space="preserve">Approach</w:t>
            </w:r>
          </w:p>
        </w:tc>
        <w:tc>
          <w:tcPr>
            <w:tcW w:type="dxa" w:w="32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1"/>
                <w:szCs w:val="21"/>
              </w:rPr>
              <w:t xml:space="preserve">Charge current per contact (6C)</w:t>
            </w:r>
          </w:p>
        </w:tc>
        <w:tc>
          <w:tcPr>
            <w:tcW w:type="dxa" w:w="29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1"/>
                <w:szCs w:val="21"/>
              </w:rPr>
              <w:t xml:space="preserve">Feasibility note</w:t>
            </w:r>
          </w:p>
        </w:tc>
      </w:tr>
      <w:tr>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Single ≈220 mAh cell at the bridge (undistributed)</w:t>
            </w:r>
          </w:p>
        </w:tc>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≈1,320 mA</w:t>
            </w:r>
          </w:p>
        </w:tc>
        <w:tc>
          <w:tcPr>
            <w:tcW w:type="dxa" w:w="2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Still a meaningful current for one tiny contact — splitting remains the safer default</w:t>
            </w:r>
          </w:p>
        </w:tc>
      </w:tr>
      <w:tr>
        <w:tc>
          <w:tcPr>
            <w:tcW w:type="dxa" w:w="3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Split into 3×≈73 mAh cells (temple, temple, bridge)</w:t>
            </w:r>
          </w:p>
        </w:tc>
        <w:tc>
          <w:tcPr>
            <w:tcW w:type="dxa" w:w="3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≈440 mA each</w:t>
            </w:r>
          </w:p>
        </w:tc>
        <w:tc>
          <w:tcPr>
            <w:tcW w:type="dxa" w:w="2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Comfortably within the range validated in v0.4; easier to match to a BQ25120A-class charge IC, subject to its rated maximum</w:t>
            </w:r>
          </w:p>
        </w:tc>
      </w:tr>
      <w:tr>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Split into 2×≈110 mAh cells (one per temple)</w:t>
            </w:r>
          </w:p>
        </w:tc>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≈660 mA each</w:t>
            </w:r>
          </w:p>
        </w:tc>
        <w:tc>
          <w:tcPr>
            <w:tcW w:type="dxa" w:w="2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Mid-point option; still worth checking contact and charge-IC current ratings</w:t>
            </w:r>
          </w:p>
        </w:tc>
      </w:tr>
    </w:tbl>
    <w:p>
      <w:pPr>
        <w:pStyle w:val="ListParagraph"/>
        <w:numPr>
          <w:ilvl w:val="0"/>
          <w:numId w:val="2"/>
        </w:numPr>
        <w:spacing w:after="80"/>
      </w:pPr>
      <w:r>
        <w:t xml:space="preserve">The charging case’s ≈1,000 mAh reservoir LiPo discharging at well under 1C to deliver any of the currents above remains comfortably within normal LiPo capability.</w:t>
      </w:r>
    </w:p>
    <w:p>
      <w:pPr>
        <w:pStyle w:val="Heading1"/>
      </w:pPr>
      <w:r>
        <w:t xml:space="preserve">8. Charging Case</w:t>
      </w:r>
    </w:p>
    <w:p>
      <w:pPr>
        <w:spacing w:after="160"/>
      </w:pPr>
      <w:r>
        <w:t xml:space="preserve">Unchanged in concept: internal Qi receiver coil for ambient desk top-up, and an internal reservoir LiPo (≈1000 mAh) that buffers energy. Per Section 7.6–7.9, the dock should now be designed for multiple smaller cells (one or two per temple arm, plus optionally one at the bridge) rather than a single contact pair — each cell gets its own spring-loaded pogo-pin pair and charges in parallel, keeping the per-contact current manageable while still completing the full charge in ≈10 minutes.</w:t>
      </w:r>
    </w:p>
    <w:p>
      <w:pPr>
        <w:pStyle w:val="Heading1"/>
      </w:pPr>
      <w:r>
        <w:t xml:space="preserve">9. Wireless Link Layer</w:t>
      </w:r>
    </w:p>
    <w:p>
      <w:pPr>
        <w:pBdr>
          <w:left w:val="single" w:color="C00000" w:sz="12" w:space="8"/>
        </w:pBdr>
        <w:spacing w:after="240" w:before="80"/>
        <w:ind w:left="120"/>
      </w:pPr>
      <w:r>
        <w:rPr>
          <w:b/>
          <w:bCs/>
          <w:color w:val="C00000"/>
          <w:sz w:val="21"/>
          <w:szCs w:val="21"/>
        </w:rPr>
        <w:t xml:space="preserve">RESOLVED IN THIS REVISION: with image-to-coordinate conversion now happening on the bridge module (Section 3), the payload is back to small, fixed-size coordinate packets, not video. The original Nordic nRF52840-class BLE/Enhanced ShockBurst link from v0.2 is viable again, and the v0.3/v0.4 open item about needing a Wi-Fi-class or UWB radio is resolved — the indoor-range table below applies as originally estimated.</w:t>
      </w:r>
    </w:p>
    <w:p>
      <w:pPr>
        <w:pStyle w:val="Heading2"/>
      </w:pPr>
      <w:r>
        <w:t xml:space="preserve">9.1 Indoor range expectations (estimates, not yet measured)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400"/>
        <w:gridCol w:w="3840"/>
      </w:tblGrid>
      <w:tr>
        <w:tc>
          <w:tcPr>
            <w:tcW w:type="dxa" w:w="312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1"/>
                <w:szCs w:val="21"/>
              </w:rPr>
              <w:t xml:space="preserve">Obstacle type</w:t>
            </w:r>
          </w:p>
        </w:tc>
        <w:tc>
          <w:tcPr>
            <w:tcW w:type="dxa" w:w="24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1"/>
                <w:szCs w:val="21"/>
              </w:rPr>
              <w:t xml:space="preserve">Signal impact</w:t>
            </w:r>
          </w:p>
        </w:tc>
        <w:tc>
          <w:tcPr>
            <w:tcW w:type="dxa" w:w="384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1"/>
                <w:szCs w:val="21"/>
              </w:rPr>
              <w:t xml:space="preserve">Estimated max distance</w:t>
            </w:r>
          </w:p>
        </w:tc>
      </w:tr>
      <w:tr>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Open-plan / same room</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None</w:t>
            </w:r>
          </w:p>
        </w:tc>
        <w:tc>
          <w:tcPr>
            <w:tcW w:type="dxa" w:w="38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30+ m</w:t>
            </w:r>
          </w:p>
        </w:tc>
      </w:tr>
      <w:tr>
        <w:tc>
          <w:tcPr>
            <w:tcW w:type="dxa" w:w="312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Drywall / stud walls</w:t>
            </w:r>
          </w:p>
        </w:tc>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Low</w:t>
            </w:r>
          </w:p>
        </w:tc>
        <w:tc>
          <w:tcPr>
            <w:tcW w:type="dxa" w:w="384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20–25 m (3–4 rooms)</w:t>
            </w:r>
          </w:p>
        </w:tc>
      </w:tr>
      <w:tr>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Brick / concrete walls</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Medium</w:t>
            </w:r>
          </w:p>
        </w:tc>
        <w:tc>
          <w:tcPr>
            <w:tcW w:type="dxa" w:w="38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10–15 m (1–2 dense walls)</w:t>
            </w:r>
          </w:p>
        </w:tc>
      </w:tr>
      <w:tr>
        <w:tc>
          <w:tcPr>
            <w:tcW w:type="dxa" w:w="312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Concrete floors / ceilings</w:t>
            </w:r>
          </w:p>
        </w:tc>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High</w:t>
            </w:r>
          </w:p>
        </w:tc>
        <w:tc>
          <w:tcPr>
            <w:tcW w:type="dxa" w:w="384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1–2 floors maximum</w:t>
            </w:r>
          </w:p>
        </w:tc>
      </w:tr>
    </w:tbl>
    <w:p>
      <w:pPr>
        <w:pStyle w:val="Heading2"/>
      </w:pPr>
      <w:r>
        <w:t xml:space="preserve">9.2 Dynamic TX power loop</w:t>
      </w:r>
    </w:p>
    <w:p>
      <w:pPr>
        <w:spacing w:after="160"/>
      </w:pPr>
      <w:r>
        <w:t xml:space="preserve">Bridge module sends a packet → Mainboard measures RSSI → Mainboard returns an acknowledgement containing that RSSI → Bridge module tunes its next transmit power: strong signal drops power to save battery; weak signal ramps power up for range.</w:t>
      </w:r>
    </w:p>
    <w:p>
      <w:pPr>
        <w:pStyle w:val="Heading2"/>
      </w:pPr>
      <w:r>
        <w:t xml:space="preserve">9.3 Security</w:t>
      </w:r>
    </w:p>
    <w:p>
      <w:pPr>
        <w:pStyle w:val="ListParagraph"/>
        <w:numPr>
          <w:ilvl w:val="0"/>
          <w:numId w:val="2"/>
        </w:numPr>
        <w:spacing w:after="80"/>
      </w:pPr>
      <w:r>
        <w:t xml:space="preserve">AES-128 hardware-accelerated encryption on the nRF52 radio link.</w:t>
      </w:r>
    </w:p>
    <w:p>
      <w:pPr>
        <w:pStyle w:val="ListParagraph"/>
        <w:numPr>
          <w:ilvl w:val="0"/>
          <w:numId w:val="2"/>
        </w:numPr>
        <w:spacing w:after="80"/>
      </w:pPr>
      <w:r>
        <w:t xml:space="preserve">Do not hardcode the encryption key in firmware. Generate session keys via the chip’s on-board TRNG, or add a dedicated secure-element IC (e.g. ATECC608A) on both boards if a higher security bar is needed.</w:t>
      </w:r>
    </w:p>
    <w:p>
      <w:pPr>
        <w:pBdr>
          <w:left w:val="single" w:color="2E75B6" w:sz="12" w:space="8"/>
        </w:pBdr>
        <w:spacing w:after="200" w:before="60"/>
        <w:ind w:left="120"/>
      </w:pPr>
      <w:r>
        <w:rPr>
          <w:i/>
          <w:iCs/>
          <w:color w:val="595959"/>
          <w:sz w:val="21"/>
          <w:szCs w:val="21"/>
        </w:rPr>
        <w:t xml:space="preserve">Encryption requirements are lighter now than under the v0.3/v0.4 video-streaming design — protecting three small coordinate packets is a simpler problem than protecting a continuous video feed — but key management still needs a proper implementation and code review.</w:t>
      </w:r>
    </w:p>
    <w:p>
      <w:pPr>
        <w:pStyle w:val="Heading1"/>
      </w:pPr>
      <w:r>
        <w:t xml:space="preserve">10. Bill of Materials (working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400"/>
        <w:gridCol w:w="2200"/>
        <w:gridCol w:w="2060"/>
      </w:tblGrid>
      <w:tr>
        <w:tc>
          <w:tcPr>
            <w:tcW w:type="dxa" w:w="27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1"/>
                <w:szCs w:val="21"/>
              </w:rPr>
              <w:t xml:space="preserve">Component</w:t>
            </w:r>
          </w:p>
        </w:tc>
        <w:tc>
          <w:tcPr>
            <w:tcW w:type="dxa" w:w="24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1"/>
                <w:szCs w:val="21"/>
              </w:rPr>
              <w:t xml:space="preserve">Role</w:t>
            </w:r>
          </w:p>
        </w:tc>
        <w:tc>
          <w:tcPr>
            <w:tcW w:type="dxa" w:w="22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1"/>
                <w:szCs w:val="21"/>
              </w:rPr>
              <w:t xml:space="preserve">Package / form</w:t>
            </w:r>
          </w:p>
        </w:tc>
        <w:tc>
          <w:tcPr>
            <w:tcW w:type="dxa" w:w="20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1"/>
                <w:szCs w:val="21"/>
              </w:rPr>
              <w:t xml:space="preserve">Notes</w:t>
            </w:r>
          </w:p>
        </w:tc>
      </w:tr>
      <w:tr>
        <w:tc>
          <w:tcPr>
            <w:tcW w:type="dxa" w:w="2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Stereo RGB/IR camera pair</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Front scene capture, feeding the on-board vision chip</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TBD</w:t>
            </w:r>
          </w:p>
        </w:tc>
        <w:tc>
          <w:tcPr>
            <w:tcW w:type="dxa" w:w="20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Open item — see Section 3</w:t>
            </w:r>
          </w:p>
        </w:tc>
      </w:tr>
      <w:tr>
        <w:tc>
          <w:tcPr>
            <w:tcW w:type="dxa" w:w="2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Himax WiseEye2 (HX6538) or similar</w:t>
            </w:r>
          </w:p>
        </w:tc>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On-board vision/coordinate-extraction chip</w:t>
            </w:r>
          </w:p>
        </w:tc>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Small SMD</w:t>
            </w:r>
          </w:p>
        </w:tc>
        <w:tc>
          <w:tcPr>
            <w:tcW w:type="dxa" w:w="20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New in v0.5 — top-priority part selection, see Section 3</w:t>
            </w:r>
          </w:p>
        </w:tc>
      </w:tr>
      <w:tr>
        <w:tc>
          <w:tcPr>
            <w:tcW w:type="dxa" w:w="2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Bosch BMI270 or ST LSM6DSOX</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6-axis IMU with gyroscope</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Small SMD</w:t>
            </w:r>
          </w:p>
        </w:tc>
        <w:tc>
          <w:tcPr>
            <w:tcW w:type="dxa" w:w="20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Head pitch/yaw/roll; negligible power cost</w:t>
            </w:r>
          </w:p>
        </w:tc>
      </w:tr>
      <w:tr>
        <w:tc>
          <w:tcPr>
            <w:tcW w:type="dxa" w:w="2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Vishay VEMD2704</w:t>
            </w:r>
          </w:p>
        </w:tc>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Gaze-array photodiode</w:t>
            </w:r>
          </w:p>
        </w:tc>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2.3×2.3 mm SMD</w:t>
            </w:r>
          </w:p>
        </w:tc>
        <w:tc>
          <w:tcPr>
            <w:tcW w:type="dxa" w:w="20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Daylight-blocking filter, 940 nm tuned</w:t>
            </w:r>
          </w:p>
        </w:tc>
      </w:tr>
      <w:tr>
        <w:tc>
          <w:tcPr>
            <w:tcW w:type="dxa" w:w="2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Kingbright APED3528F3C</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Gaze-array IR emitter</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SMD, dome lens</w:t>
            </w:r>
          </w:p>
        </w:tc>
        <w:tc>
          <w:tcPr>
            <w:tcW w:type="dxa" w:w="20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940 nm, 35° beam</w:t>
            </w:r>
          </w:p>
        </w:tc>
      </w:tr>
      <w:tr>
        <w:tc>
          <w:tcPr>
            <w:tcW w:type="dxa" w:w="2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74HC4051 / CD4051B</w:t>
            </w:r>
          </w:p>
        </w:tc>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Photodiode multiplexer</w:t>
            </w:r>
          </w:p>
        </w:tc>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TSSOP/QFN SMD</w:t>
            </w:r>
          </w:p>
        </w:tc>
        <w:tc>
          <w:tcPr>
            <w:tcW w:type="dxa" w:w="20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One per eye, or shared with care</w:t>
            </w:r>
          </w:p>
        </w:tc>
      </w:tr>
      <w:tr>
        <w:tc>
          <w:tcPr>
            <w:tcW w:type="dxa" w:w="2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74HC595</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LED shift register</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SMD</w:t>
            </w:r>
          </w:p>
        </w:tc>
        <w:tc>
          <w:tcPr>
            <w:tcW w:type="dxa" w:w="20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
            </w:r>
          </w:p>
        </w:tc>
      </w:tr>
      <w:tr>
        <w:tc>
          <w:tcPr>
            <w:tcW w:type="dxa" w:w="2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Nordic nRF52840-class module/dongle</w:t>
            </w:r>
          </w:p>
        </w:tc>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Bridge-to-mainboard coordinate link</w:t>
            </w:r>
          </w:p>
        </w:tc>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Module or dev kit</w:t>
            </w:r>
          </w:p>
        </w:tc>
        <w:tc>
          <w:tcPr>
            <w:tcW w:type="dxa" w:w="20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Reverted from Wi-Fi/UWB — payload is coordinates again, see Section 9</w:t>
            </w:r>
          </w:p>
        </w:tc>
      </w:tr>
      <w:tr>
        <w:tc>
          <w:tcPr>
            <w:tcW w:type="dxa" w:w="2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LTO micro pin/button cells (×2–3)</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Bridge module battery, split across temple arms (+ optional bridge cell)</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≈73–110 mAh each</w:t>
            </w:r>
          </w:p>
        </w:tc>
        <w:tc>
          <w:tcPr>
            <w:tcW w:type="dxa" w:w="20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Structural recommendation, Section 7.5; total target ≈180–370 mAh combined, depending on chosen duty cycle</w:t>
            </w:r>
          </w:p>
        </w:tc>
      </w:tr>
      <w:tr>
        <w:tc>
          <w:tcPr>
            <w:tcW w:type="dxa" w:w="2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TI BQ25120A (or larger alternative), one per cell</w:t>
            </w:r>
          </w:p>
        </w:tc>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Bridge module charge management</w:t>
            </w:r>
          </w:p>
        </w:tc>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2.5×2.5 mm or larger</w:t>
            </w:r>
          </w:p>
        </w:tc>
        <w:tc>
          <w:tcPr>
            <w:tcW w:type="dxa" w:w="20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Confirm max rated current against the chosen per-cell size — Section 7.7</w:t>
            </w:r>
          </w:p>
        </w:tc>
      </w:tr>
      <w:tr>
        <w:tc>
          <w:tcPr>
            <w:tcW w:type="dxa" w:w="2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Reservoir LiPo</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Case buffer battery</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≈1000 mAh</w:t>
            </w:r>
          </w:p>
        </w:tc>
        <w:tc>
          <w:tcPr>
            <w:tcW w:type="dxa" w:w="20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
            </w:r>
          </w:p>
        </w:tc>
      </w:tr>
      <w:tr>
        <w:tc>
          <w:tcPr>
            <w:tcW w:type="dxa" w:w="2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Qi receiver coil</w:t>
            </w:r>
          </w:p>
        </w:tc>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Case ambient charging</w:t>
            </w:r>
          </w:p>
        </w:tc>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TBD</w:t>
            </w:r>
          </w:p>
        </w:tc>
        <w:tc>
          <w:tcPr>
            <w:tcW w:type="dxa" w:w="20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
            </w:r>
          </w:p>
        </w:tc>
      </w:tr>
      <w:tr>
        <w:tc>
          <w:tcPr>
            <w:tcW w:type="dxa" w:w="2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ATECC608A (optional)</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Secure key storage</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Small SMD</w:t>
            </w:r>
          </w:p>
        </w:tc>
        <w:tc>
          <w:tcPr>
            <w:tcW w:type="dxa" w:w="20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Add only if higher security bar required</w:t>
            </w:r>
          </w:p>
        </w:tc>
      </w:tr>
    </w:tbl>
    <w:p>
      <w:pPr>
        <w:pStyle w:val="Heading1"/>
      </w:pPr>
      <w:r>
        <w:t xml:space="preserve">11. Open Engineering Questions</w:t>
      </w:r>
    </w:p>
    <w:p>
      <w:pPr>
        <w:pStyle w:val="ListParagraph"/>
        <w:numPr>
          <w:ilvl w:val="0"/>
          <w:numId w:val="2"/>
        </w:numPr>
        <w:spacing w:after="80"/>
      </w:pPr>
      <w:r>
        <w:t xml:space="preserve">Select the on-board vision chip and detection model (Section 3) — this is now the single highest-priority part-selection item, since the real power draw and detection accuracy both depend on it, and the Section 7 estimate is a placeholder pending real benchmarking.</w:t>
      </w:r>
    </w:p>
    <w:p>
      <w:pPr>
        <w:pStyle w:val="ListParagraph"/>
        <w:numPr>
          <w:ilvl w:val="0"/>
          <w:numId w:val="2"/>
        </w:numPr>
        <w:spacing w:after="80"/>
      </w:pPr>
      <w:r>
        <w:t xml:space="preserve">Pick a target active-streaming duty cycle (Section 7.3) — still the single most consequential decision for battery sizing.</w:t>
      </w:r>
    </w:p>
    <w:p>
      <w:pPr>
        <w:pStyle w:val="ListParagraph"/>
        <w:numPr>
          <w:ilvl w:val="0"/>
          <w:numId w:val="2"/>
        </w:numPr>
        <w:spacing w:after="80"/>
      </w:pPr>
      <w:r>
        <w:t xml:space="preserve">Confirm the streaming architecture assumption (Section 1): does “ir images” refer to the front scene camera’s low-light/IR mode, or does the rear eye-tracking also need to become camera-based?</w:t>
      </w:r>
    </w:p>
    <w:p>
      <w:pPr>
        <w:pStyle w:val="ListParagraph"/>
        <w:numPr>
          <w:ilvl w:val="0"/>
          <w:numId w:val="2"/>
        </w:numPr>
        <w:spacing w:after="80"/>
      </w:pPr>
      <w:r>
        <w:t xml:space="preserve">Decide whether the bridge’s on-board detection accuracy is sufficient for the product’s needs, or whether a secondary, more capable model is still needed on the mainboard for some use cases (Section 6’s note) — that would mean reintroducing some image transmission.</w:t>
      </w:r>
    </w:p>
    <w:p>
      <w:pPr>
        <w:pStyle w:val="ListParagraph"/>
        <w:numPr>
          <w:ilvl w:val="0"/>
          <w:numId w:val="2"/>
        </w:numPr>
        <w:spacing w:after="80"/>
      </w:pPr>
      <w:r>
        <w:t xml:space="preserve">Open a vendor conversation on silicon-anode micro-cells to see whether a real part exists at the needed size/MOQ for a prototype run.</w:t>
      </w:r>
    </w:p>
    <w:p>
      <w:pPr>
        <w:pStyle w:val="ListParagraph"/>
        <w:numPr>
          <w:ilvl w:val="0"/>
          <w:numId w:val="2"/>
        </w:numPr>
        <w:spacing w:after="80"/>
      </w:pPr>
      <w:r>
        <w:t xml:space="preserve">Confirm the charge-management IC’s and pogo-pin contacts’ current ratings against the chosen per-cell size (Section 7.7).</w:t>
      </w:r>
    </w:p>
    <w:p>
      <w:pPr>
        <w:pStyle w:val="ListParagraph"/>
        <w:numPr>
          <w:ilvl w:val="0"/>
          <w:numId w:val="2"/>
        </w:numPr>
        <w:spacing w:after="80"/>
      </w:pPr>
      <w:r>
        <w:t xml:space="preserve">Mechanical layout: how the 2–3 split cells, their charge contacts, and the temple-arm hinge all fit together — not yet addressed.</w:t>
      </w:r>
    </w:p>
    <w:p>
      <w:pPr>
        <w:pStyle w:val="ListParagraph"/>
        <w:numPr>
          <w:ilvl w:val="0"/>
          <w:numId w:val="2"/>
        </w:numPr>
        <w:spacing w:after="80"/>
      </w:pPr>
      <w:r>
        <w:t xml:space="preserve">Final photodiode/LED count per eye (16 vs. 32 elements; 4-node vs. full matrix) not yet locked.</w:t>
      </w:r>
    </w:p>
    <w:p>
      <w:pPr>
        <w:pStyle w:val="Heading1"/>
      </w:pPr>
      <w:r>
        <w:t xml:space="preserve">12. Next Steps</w:t>
      </w:r>
    </w:p>
    <w:p>
      <w:pPr>
        <w:pStyle w:val="ListParagraph"/>
        <w:numPr>
          <w:ilvl w:val="0"/>
          <w:numId w:val="2"/>
        </w:numPr>
        <w:spacing w:after="80"/>
      </w:pPr>
      <w:r>
        <w:t xml:space="preserve">Benchmark a real always-on vision SoC (e.g. Himax WiseEye2 dev kit) on a representative detection task to replace the Section 7.2 estimate with a measured figure.</w:t>
      </w:r>
    </w:p>
    <w:p>
      <w:pPr>
        <w:pStyle w:val="ListParagraph"/>
        <w:numPr>
          <w:ilvl w:val="0"/>
          <w:numId w:val="2"/>
        </w:numPr>
        <w:spacing w:after="80"/>
      </w:pPr>
      <w:r>
        <w:t xml:space="preserve">Get the team to commit to a target duty cycle (Section 7.3) so the cell-size/chemistry decision can be finalized.</w:t>
      </w:r>
    </w:p>
    <w:p>
      <w:pPr>
        <w:pStyle w:val="ListParagraph"/>
        <w:numPr>
          <w:ilvl w:val="0"/>
          <w:numId w:val="2"/>
        </w:numPr>
        <w:spacing w:after="80"/>
      </w:pPr>
      <w:r>
        <w:t xml:space="preserve">Reach out to at least one silicon-anode micro-cell vendor to validate real-world energy density and pricing.</w:t>
      </w:r>
    </w:p>
    <w:p>
      <w:pPr>
        <w:pStyle w:val="ListParagraph"/>
        <w:numPr>
          <w:ilvl w:val="0"/>
          <w:numId w:val="2"/>
        </w:numPr>
        <w:spacing w:after="80"/>
      </w:pPr>
      <w:r>
        <w:t xml:space="preserve">Sketch the temple-arm split-cell mechanical layout and confirm it doesn’t conflict with hinge mechanisms or wearer comfort.</w:t>
      </w:r>
    </w:p>
    <w:p>
      <w:pPr>
        <w:pStyle w:val="ListParagraph"/>
        <w:numPr>
          <w:ilvl w:val="0"/>
          <w:numId w:val="2"/>
        </w:numPr>
        <w:spacing w:after="80"/>
      </w:pPr>
      <w:r>
        <w:t xml:space="preserve">Validate TDM firmware cross-talk rejection across both eyes simultaneously.</w:t>
      </w:r>
    </w:p>
    <w:p>
      <w:pPr>
        <w:pStyle w:val="ListParagraph"/>
        <w:numPr>
          <w:ilvl w:val="0"/>
          <w:numId w:val="2"/>
        </w:numPr>
        <w:spacing w:after="80"/>
      </w:pPr>
      <w:r>
        <w:t xml:space="preserve">Re-confirm LTO cell and charge-rate assumptions once real current draw is known.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595959"/>
        <w:sz w:val="16"/>
        <w:szCs w:val="16"/>
      </w:rPr>
      <w:t xml:space="preserve">ReArm Candor — Engineering Spec (Working Draft, Internal)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60"/>
    </w:pPr>
    <w:rPr>
      <w:rFonts w:ascii="Arial" w:cs="Arial" w:eastAsia="Arial" w:hAnsi="Arial"/>
      <w:b/>
      <w:bCs/>
      <w:color w:val="1F3864"/>
      <w:sz w:val="56"/>
      <w:szCs w:val="56"/>
    </w:rPr>
  </w:style>
  <w:style w:type="paragraph" w:styleId="Heading1">
    <w:name w:val="Heading 1"/>
    <w:basedOn w:val="Normal"/>
    <w:next w:val="Normal"/>
    <w:qFormat/>
    <w:pPr>
      <w:pBdr>
        <w:bottom w:val="single" w:color="2E75B6" w:sz="6" w:space="4"/>
      </w:pBdr>
      <w:spacing w:after="180" w:before="36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2026-06-27T12:54:01.980Z</dcterms:created>
  <dcterms:modified xsi:type="dcterms:W3CDTF">2026-06-27T12:54:01.981Z</dcterms:modified>
</cp:coreProperties>
</file>

<file path=docProps/custom.xml><?xml version="1.0" encoding="utf-8"?>
<Properties xmlns="http://schemas.openxmlformats.org/officeDocument/2006/custom-properties" xmlns:vt="http://schemas.openxmlformats.org/officeDocument/2006/docPropsVTypes"/>
</file>