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Engineering Specification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Engineering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v0.6 (working draft — supersedes v0.5)</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 major re-scope: device redefined as a gaze/head-orientation peripheral for robot control; front-facing cameras and on-board vision chip removed; power budget greatly reduced; not bench-validated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Last updated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maker use only — not for external release</w:t>
            </w:r>
          </w:p>
        </w:tc>
      </w:tr>
    </w:tbl>
    <w:p>
      <w:r>
        <w:br w:type="page"/>
      </w:r>
    </w:p>
    <w:p>
      <w:pPr>
        <w:pStyle w:val="Heading1"/>
      </w:pPr>
      <w:r>
        <w:t xml:space="preserve">1. Product Overview</w:t>
      </w:r>
    </w:p>
    <w:p>
      <w:pPr>
        <w:spacing w:after="160"/>
      </w:pPr>
      <w:r>
        <w:t xml:space="preserve">ReArm Candor is now scoped as a peripheral input device, not a standalone camera-equipped wearable. Worn on prescription or cosmetic glasses, its only job is to continuously answer three questions and send the answers to a host system — for example, a gaze-controlled robot (such as a robot dog) that has its own cameras and sensors for understanding the world around it:</w:t>
      </w:r>
    </w:p>
    <w:p>
      <w:pPr>
        <w:pStyle w:val="ListParagraph"/>
        <w:numPr>
          <w:ilvl w:val="0"/>
          <w:numId w:val="2"/>
        </w:numPr>
        <w:spacing w:after="80"/>
      </w:pPr>
      <w:r>
        <w:t xml:space="preserve">Where is the head facing? (head orientation)</w:t>
      </w:r>
    </w:p>
    <w:p>
      <w:pPr>
        <w:pStyle w:val="ListParagraph"/>
        <w:numPr>
          <w:ilvl w:val="0"/>
          <w:numId w:val="2"/>
        </w:numPr>
        <w:spacing w:after="80"/>
      </w:pPr>
      <w:r>
        <w:t xml:space="preserve">Where are the eyes facing? (gaze direction)</w:t>
      </w:r>
    </w:p>
    <w:p>
      <w:pPr>
        <w:pStyle w:val="ListParagraph"/>
        <w:numPr>
          <w:ilvl w:val="0"/>
          <w:numId w:val="2"/>
        </w:numPr>
        <w:spacing w:after="80"/>
      </w:pPr>
      <w:r>
        <w:t xml:space="preserve">What is the depth/range of the gaze? (fixation distance)</w:t>
      </w:r>
    </w:p>
    <w:p>
      <w:pPr>
        <w:spacing w:after="160"/>
      </w:pPr>
      <w:r>
        <w:t xml:space="preserve">Everything else — object recognition, scene mapping, image processing — is explicitly the host system’s job, not this device’s. This removes the entire front-facing camera and on-board vision chip stack from v0.3–v0.5, and dramatically simplifies the power budget (Section 6).</w:t>
      </w:r>
    </w:p>
    <w:p>
      <w:pPr>
        <w:spacing w:after="120"/>
      </w:pPr>
      <w:r>
        <w:rPr>
          <w:b/>
          <w:bCs/>
        </w:rPr>
        <w:t xml:space="preserve">Design goals</w:t>
      </w:r>
    </w:p>
    <w:p>
      <w:pPr>
        <w:pStyle w:val="ListParagraph"/>
        <w:numPr>
          <w:ilvl w:val="0"/>
          <w:numId w:val="2"/>
        </w:numPr>
        <w:spacing w:after="80"/>
      </w:pPr>
      <w:r>
        <w:t xml:space="preserve">Bridge module on the nose bridge: rear binocular IR gaze array (unchanged from prior revisions), a 6-axis IMU with gyroscope, a lightweight MCU, and a low-power radio.</w:t>
      </w:r>
    </w:p>
    <w:p>
      <w:pPr>
        <w:pStyle w:val="ListParagraph"/>
        <w:numPr>
          <w:ilvl w:val="0"/>
          <w:numId w:val="2"/>
        </w:numPr>
        <w:spacing w:after="80"/>
      </w:pPr>
      <w:r>
        <w:t xml:space="preserve">No front-facing cameras, no on-board vision processing, no object detection — all of that is the host robot’s job.</w:t>
      </w:r>
    </w:p>
    <w:p>
      <w:pPr>
        <w:pStyle w:val="ListParagraph"/>
        <w:numPr>
          <w:ilvl w:val="0"/>
          <w:numId w:val="2"/>
        </w:numPr>
        <w:spacing w:after="80"/>
      </w:pPr>
      <w:r>
        <w:t xml:space="preserve">Output: one small, continuous, low-latency packet — head orientation, gaze direction, gaze depth/range — sent directly to the host system.</w:t>
      </w:r>
    </w:p>
    <w:p>
      <w:pPr>
        <w:pStyle w:val="ListParagraph"/>
        <w:numPr>
          <w:ilvl w:val="0"/>
          <w:numId w:val="2"/>
        </w:numPr>
        <w:spacing w:after="80"/>
      </w:pPr>
      <w:r>
        <w:t xml:space="preserve">All communication encrypted end-to-end.</w:t>
      </w:r>
    </w:p>
    <w:p>
      <w:pPr>
        <w:pStyle w:val="ListParagraph"/>
        <w:numPr>
          <w:ilvl w:val="0"/>
          <w:numId w:val="2"/>
        </w:numPr>
        <w:spacing w:after="80"/>
      </w:pPr>
      <w:r>
        <w:t xml:space="preserve">Runtime target: 24-hour minimum standalone operation — now far easier to hit; see Section 6.</w:t>
      </w:r>
    </w:p>
    <w:p>
      <w:pPr>
        <w:pBdr>
          <w:left w:val="single" w:color="2E75B6" w:sz="12" w:space="8"/>
        </w:pBdr>
        <w:spacing w:after="200" w:before="60"/>
        <w:ind w:left="120"/>
      </w:pPr>
      <w:r>
        <w:rPr>
          <w:i/>
          <w:iCs/>
          <w:color w:val="595959"/>
          <w:sz w:val="21"/>
          <w:szCs w:val="21"/>
        </w:rPr>
        <w:t xml:space="preserve">ASSUMPTION: this revision assumes the bridge module talks directly to the host robot’s receiver, eliminating the separate “Mainboard” companion device from prior revisions, since the robot itself now plays that role. If a separate carried relay device is still wanted — for range extension, or because the robot’s radio isn’t directly compatible — flag that and it can be added back.</w:t>
      </w:r>
    </w:p>
    <w:p>
      <w:pPr>
        <w:pBdr>
          <w:left w:val="single" w:color="C00000" w:sz="12" w:space="8"/>
        </w:pBdr>
        <w:spacing w:after="240" w:before="80"/>
        <w:ind w:left="120"/>
      </w:pPr>
      <w:r>
        <w:rPr>
          <w:b/>
          <w:bCs/>
          <w:color w:val="C00000"/>
          <w:sz w:val="21"/>
          <w:szCs w:val="21"/>
        </w:rPr>
        <w:t xml:space="preserve">v0.6: removing the front-facing camera stack is the single biggest simplification this product has had. It turns the power budget from a duty-cycle problem into a straightforward continuous-operation calculation (Section 6), and removes nearly all of the camera-related privacy/regulatory burden from the compliance specification — but it introduces a new category of consideration this product hasn’t had before: this device is now a safety-relevant control input for a physical robot, not just a data-logging accessory (see Section 7 and the compliance specification).</w:t>
      </w:r>
    </w:p>
    <w:p>
      <w:pPr>
        <w:pStyle w:val="Heading1"/>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(on the glasses)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Computes and sends head orientation, gaze direction, and gaze depth/range, continuously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The only node left on the person — cameras and vision processing removed entirely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Host system (e.g. the robot)</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Receives the packet; uses its own cameras/sensors for scene understanding and acts on the gaze data</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Replaces the “Mainboard” and ML pipeline from v0.3–v0.5</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 (accessory)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battery, Qi receiver, charging dock for the bridge module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Concept unchanged, now under much lighter power demands</w:t>
            </w:r>
          </w:p>
        </w:tc>
      </w:tr>
    </w:tbl>
    <w:p>
      <w:pPr>
        <w:spacing w:after="100" w:before="200"/>
      </w:pPr>
      <w:r>
        <w:rPr>
          <w:b/>
          <w:bCs/>
        </w:rPr>
        <w:t xml:space="preserve">Data flow:</w:t>
      </w:r>
    </w:p>
    <w:p>
      <w:pPr>
        <w:spacing w:after="160"/>
      </w:pPr>
      <w:r>
        <w:t xml:space="preserve">The rear gaze array (Section 3) produces each eye’s gaze vector and the vergence angle between them. The bridge MCU combines the two eyes’ vectors into a single gaze direction and converts vergence into a depth/range estimate. The IMU (Section 4) provides head orientation via accelerometer + gyroscope sensor fusion. All three values are packaged into one small packet and sent continuously to the host system.</w:t>
      </w:r>
    </w:p>
    <w:p>
      <w:pPr>
        <w:pStyle w:val="Heading1"/>
      </w:pPr>
      <w:r>
        <w:t xml:space="preserve">3. Rear Gaze Array</w:t>
      </w:r>
    </w:p>
    <w:p>
      <w:pPr>
        <w:spacing w:after="160"/>
      </w:pPr>
      <w:r>
        <w:t xml:space="preserve">Carried over largely unchanged from v0.4/v0.5: a flat IR photodiode array per eye, time-division-multiplexed, producing each eye’s gaze vector and the vergence angle between them — no inward-facing cameras.</w:t>
      </w:r>
    </w:p>
    <w:p>
      <w:pPr>
        <w:pStyle w:val="ListParagraph"/>
        <w:numPr>
          <w:ilvl w:val="0"/>
          <w:numId w:val="2"/>
        </w:numPr>
        <w:spacing w:after="80"/>
      </w:pPr>
      <w:r>
        <w:t xml:space="preserve">16–32 IR photodiodes per eye (Vishay VEMD2704 class), 2–4 IR LEDs per eye at 940 nm (Kingbright APED3528F3C class), behind a flush smoked IR-transparent window.</w:t>
      </w:r>
    </w:p>
    <w:p>
      <w:pPr>
        <w:pStyle w:val="ListParagraph"/>
        <w:numPr>
          <w:ilvl w:val="0"/>
          <w:numId w:val="2"/>
        </w:numPr>
        <w:spacing w:after="80"/>
      </w:pPr>
      <w:r>
        <w:t xml:space="preserve">74HC4051/CD4051B multiplexer and 74HC595 shift register, as in prior revisions, to keep pin count manageable.</w:t>
      </w:r>
    </w:p>
    <w:p>
      <w:pPr>
        <w:pStyle w:val="ListParagraph"/>
        <w:numPr>
          <w:ilvl w:val="0"/>
          <w:numId w:val="2"/>
        </w:numPr>
        <w:spacing w:after="80"/>
      </w:pPr>
      <w:r>
        <w:t xml:space="preserve">Time-division multiplexing in firmware to avoid cross-talk between LEDs and between the two eyes, as detailed in v0.3–v0.5.</w:t>
      </w:r>
    </w:p>
    <w:p>
      <w:pPr>
        <w:pBdr>
          <w:left w:val="single" w:color="2E75B6" w:sz="12" w:space="8"/>
        </w:pBdr>
        <w:spacing w:after="200" w:before="60"/>
        <w:ind w:left="120"/>
      </w:pPr>
      <w:r>
        <w:rPr>
          <w:i/>
          <w:iCs/>
          <w:color w:val="595959"/>
          <w:sz w:val="21"/>
          <w:szCs w:val="21"/>
        </w:rPr>
        <w:t xml:space="preserve">OPEN QUESTION: prior revisions also derived blink detection, pupil size, and eye openness from this array, for a smart-glasses-assistant use case that no longer applies. Confirm whether the robot-control use case still needs those outputs, or only gaze direction and vergence — this doesn’t change the hardware, but it does simplify the firmware and the packet payload (Section 7) if they’re not needed.</w:t>
      </w:r>
    </w:p>
    <w:p>
      <w:pPr>
        <w:pStyle w:val="Heading1"/>
      </w:pPr>
      <w:r>
        <w:t xml:space="preserve">4. Head Orientation: IMU + Gyroscope</w:t>
      </w:r>
    </w:p>
    <w:p>
      <w:pPr>
        <w:pStyle w:val="ListParagraph"/>
        <w:numPr>
          <w:ilvl w:val="0"/>
          <w:numId w:val="2"/>
        </w:numPr>
        <w:spacing w:after="80"/>
      </w:pPr>
      <w:r>
        <w:t xml:space="preserve">6-axis IMU (e.g. Bosch BMI270 or ST LSM6DSOX class part): accelerometer + gyroscope.</w:t>
      </w:r>
    </w:p>
    <w:p>
      <w:pPr>
        <w:pStyle w:val="ListParagraph"/>
        <w:numPr>
          <w:ilvl w:val="0"/>
          <w:numId w:val="2"/>
        </w:numPr>
        <w:spacing w:after="80"/>
      </w:pPr>
      <w:r>
        <w:t xml:space="preserve">IMPORTANT: raw gyroscope integration drifts over time. Firmware must fuse the accelerometer and gyroscope (e.g. a Kalman or Madgwick filter) for a stable orientation estimate across a full day of continuous use — do not just integrate the gyroscope directly.</w:t>
      </w:r>
    </w:p>
    <w:p>
      <w:pPr>
        <w:pBdr>
          <w:left w:val="single" w:color="2E75B6" w:sz="12" w:space="8"/>
        </w:pBdr>
        <w:spacing w:after="200" w:before="60"/>
        <w:ind w:left="120"/>
      </w:pPr>
      <w:r>
        <w:rPr>
          <w:i/>
          <w:iCs/>
          <w:color w:val="595959"/>
          <w:sz w:val="21"/>
          <w:szCs w:val="21"/>
        </w:rPr>
        <w:t xml:space="preserve">OPEN QUESTION: does “where is the head facing” need to be in an absolute reference frame (compass-referenced, which would need a magnetometer/9-axis IMU and is unreliable indoors or near metal), or relative to the robot or a calibration point? Recommend a relative frame with periodic recalibration unless there’s a specific reason to need absolute heading.</w:t>
      </w:r>
    </w:p>
    <w:p>
      <w:pPr>
        <w:pStyle w:val="Heading1"/>
      </w:pPr>
      <w:r>
        <w:t xml:space="preserve">5. Depth/Range of Gaze</w:t>
      </w:r>
    </w:p>
    <w:p>
      <w:pPr>
        <w:spacing w:after="160"/>
      </w:pPr>
      <w:r>
        <w:t xml:space="preserve">Primary method: vergence — the angle between the two eyes’ gaze vectors (Section 3), converted to a distance estimate using the wearer’s interpupillary distance.</w:t>
      </w:r>
    </w:p>
    <w:p>
      <w:pPr>
        <w:pBdr>
          <w:left w:val="single" w:color="C00000" w:sz="12" w:space="8"/>
        </w:pBdr>
        <w:spacing w:after="240" w:before="80"/>
        <w:ind w:left="120"/>
      </w:pPr>
      <w:r>
        <w:rPr>
          <w:b/>
          <w:bCs/>
          <w:color w:val="C00000"/>
          <w:sz w:val="21"/>
          <w:szCs w:val="21"/>
        </w:rPr>
        <w:t xml:space="preserve">ACCURACY CAVEAT: vergence-based depth is reliable at near range (roughly under 2 metres) but degrades sharply at longer range, since the angular difference between the two eyes’ gaze vectors becomes very small as distance increases — exactly the ranges likely relevant for directing an outdoor robot at a person, animal, or object several metres away. Confirm what precision the control scheme actually needs before assuming vergence alone is sufficient at range.</w:t>
      </w:r>
    </w:p>
    <w:p>
      <w:pPr>
        <w:spacing w:after="160"/>
      </w:pPr>
      <w:r>
        <w:t xml:space="preserve">ALTERNATIVE WORTH CONSIDERING: since the host robot already has its own cameras and depth sensors, the bridge module could send gaze direction only, and let the robot intersect that direction with its own depth map to get a precise range — offloading the hard part (precise range at distance) to the system that’s actually equipped for it. This wasn’t requested, but is worth a deliberate decision given the accuracy limits above, rather than defaulting to a glasses-only depth estimate without realizing its range limits.</w:t>
      </w:r>
    </w:p>
    <w:p>
      <w:pPr>
        <w:pStyle w:val="Heading1"/>
      </w:pPr>
      <w:r>
        <w:t xml:space="preserve">6. Power Budget, Battery Life &amp; Fast-Charge</w:t>
      </w:r>
    </w:p>
    <w:p>
      <w:pPr>
        <w:spacing w:after="160"/>
      </w:pPr>
      <w:r>
        <w:t xml:space="preserve">Removing the front camera and vision chip changes this from a duty-cycle problem into a straightforward continuous-operation calculation — there is no longer an “active streaming vs. idle” distinction, since there’s no camera to duty-cycle.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Subsystem</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 avg draw</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Basis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 IR gaze array (TDM-scanned, both eyes)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Unchanged — the core sensor, genuinely low-power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6-axis IMU + gyroscope (sensor fusion on MCU)</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&lt;1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Unchanged</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Lightweight MCU (vergence/depth trig, orientation fusion, packetization)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Reduced from prior revisions — no vision pipeline to manage</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Radio (nRF52-class ESB, continuous small real-time packets)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8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Tiny, fixed-size payload at a real-time control update rate — see Section 7</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TOTAL, continuous operation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29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≈12 mA at LTO’s ≈2.4 V nominal</w:t>
            </w:r>
          </w:p>
        </w:tc>
      </w:tr>
    </w:tbl>
    <w:p>
      <w:pPr>
        <w:spacing w:after="160"/>
      </w:pPr>
      <w:r>
        <w:t xml:space="preserve">24-hour capacity at continuous operation: ≈12 mA × 24 h ≈ 290 mAh. For comparison, v0.5’s fully-active 24-hour figure (continuous camera streaming) was 941 mAh — this is full-time, all-day operation at well under a third of that, with a plausible range of roughly 220–330 mAh depending on the final radio/MCU efficiency (these remain component-class estimates pending real parts).</w:t>
      </w:r>
    </w:p>
    <w:p>
      <w:pPr>
        <w:pBdr>
          <w:left w:val="single" w:color="C00000" w:sz="12" w:space="8"/>
        </w:pBdr>
        <w:spacing w:after="240" w:before="80"/>
        <w:ind w:left="120"/>
      </w:pPr>
      <w:r>
        <w:rPr>
          <w:b/>
          <w:bCs/>
          <w:color w:val="C00000"/>
          <w:sz w:val="21"/>
          <w:szCs w:val="21"/>
        </w:rPr>
        <w:t xml:space="preserve">HEADLINE: 24-hour continuous operation is now comfortably achievable in a small cell — this is no longer a duty-cycle negotiation. ≈290 mAh is in the same range as a small smartwatch or fitness-tracker battery, and is plausible as 2 cells of ≈145 mAh split across the temple arms, or possibly even worth a fresh look at a single bridge-housed cell given how much smaller this number is than prior revisions.</w:t>
      </w:r>
    </w:p>
    <w:p>
      <w:pPr>
        <w:pStyle w:val="ListParagraph"/>
        <w:numPr>
          <w:ilvl w:val="0"/>
          <w:numId w:val="2"/>
        </w:numPr>
        <w:spacing w:after="80"/>
      </w:pPr>
      <w:r>
        <w:t xml:space="preserve">Fast charge: at ≈290 mAh split into 2×145 mAh cells, 6C charge current is ≈870 mA per cell — similar order to the ranges validated in v0.4/v0.5; still confirm charge-IC and pogo-pin current ratings against the final cell choice.</w:t>
      </w:r>
    </w:p>
    <w:p>
      <w:pPr>
        <w:pStyle w:val="ListParagraph"/>
        <w:numPr>
          <w:ilvl w:val="0"/>
          <w:numId w:val="2"/>
        </w:numPr>
        <w:spacing w:after="80"/>
      </w:pPr>
      <w:r>
        <w:t xml:space="preserve">Chemistry: the LTO recommendation from v0.4 is unchanged and is now even more comfortably sufficient — the silicon-anode/solid-state exploration from v0.4 is no longer urgent, though still worth tracking for a future, even-smaller generation.</w:t>
      </w:r>
    </w:p>
    <w:p>
      <w:pPr>
        <w:pStyle w:val="Heading1"/>
      </w:pPr>
      <w:r>
        <w:t xml:space="preserve">7. Wireless Link Layer</w:t>
      </w:r>
    </w:p>
    <w:p>
      <w:pPr>
        <w:pStyle w:val="ListParagraph"/>
        <w:numPr>
          <w:ilvl w:val="0"/>
          <w:numId w:val="2"/>
        </w:numPr>
        <w:spacing w:after="80"/>
      </w:pPr>
      <w:r>
        <w:t xml:space="preserve">Protocol: Nordic nRF52-class radio using Enhanced ShockBurst (ESB), not standard BLE GATT — chosen specifically to avoid BLE’s connection-interval latency, which matters more than ever now that this is a real-time control interface. Lag between eye movement and robot response would make this unusable.</w:t>
      </w:r>
    </w:p>
    <w:p>
      <w:pPr>
        <w:pStyle w:val="ListParagraph"/>
        <w:numPr>
          <w:ilvl w:val="0"/>
          <w:numId w:val="2"/>
        </w:numPr>
        <w:spacing w:after="80"/>
      </w:pPr>
      <w:r>
        <w:t xml:space="preserve">Payload: one small fixed packet — head orientation (e.g. 3 floats or a quaternion), gaze direction (e.g. 2 floats), and a depth/range estimate (1 float) — well under 32 bytes, trivial bandwidth even at 60–100+ Hz update rates.</w:t>
      </w:r>
    </w:p>
    <w:p>
      <w:pPr>
        <w:pStyle w:val="ListParagraph"/>
        <w:numPr>
          <w:ilvl w:val="0"/>
          <w:numId w:val="2"/>
        </w:numPr>
        <w:spacing w:after="80"/>
      </w:pPr>
      <w:r>
        <w:t xml:space="preserve">Range: the same indoor estimates from prior revisions (≈15–30 m, degraded by walls) apply as a starting point — confirm the actual operating range needed for the real use case (e.g. a yard or park, for an outdoor robot dog, may need more range and different obstacle assumptions than “across the house”).</w:t>
      </w:r>
    </w:p>
    <w:p>
      <w:pPr>
        <w:pStyle w:val="ListParagraph"/>
        <w:numPr>
          <w:ilvl w:val="0"/>
          <w:numId w:val="2"/>
        </w:numPr>
        <w:spacing w:after="80"/>
      </w:pPr>
      <w:r>
        <w:t xml:space="preserve">Security: AES-128 (or the nRF52’s native equivalent); no hardcoded keys; TRNG-derived session keys, or a secure element (e.g. ATECC608A) if a higher bar is needed.</w:t>
      </w:r>
    </w:p>
    <w:p>
      <w:pPr>
        <w:pBdr>
          <w:left w:val="single" w:color="2E75B6" w:sz="12" w:space="8"/>
        </w:pBdr>
        <w:spacing w:after="200" w:before="60"/>
        <w:ind w:left="120"/>
      </w:pPr>
      <w:r>
        <w:rPr>
          <w:i/>
          <w:iCs/>
          <w:color w:val="595959"/>
          <w:sz w:val="21"/>
          <w:szCs w:val="21"/>
        </w:rPr>
        <w:t xml:space="preserve">OPEN QUESTION: does the bridge module pair directly with the robot’s own radio, or does the robot need a small receiver dongle? Confirm against the actual host robot platform’s radio and compute stack.</w:t>
      </w:r>
    </w:p>
    <w:p>
      <w:pPr>
        <w:pStyle w:val="Heading1"/>
      </w:pPr>
      <w:r>
        <w:t xml:space="preserve">8. Industrial Design</w:t>
      </w:r>
    </w:p>
    <w:p>
      <w:pPr>
        <w:spacing w:after="160"/>
      </w:pPr>
      <w:r>
        <w:t xml:space="preserve">The rear gaze array housing (smoked IR-transparent window, binocular, CNC-machined) is unchanged and remains the core of the bridge module. The front face no longer needs to house cameras or a vision chip — it could become a simpler cosmetic cover (housing just the IMU, MCU, and antenna), or the team may choose to keep a camera-style front face for visual continuity with the reference renders even though it’s no longer functionally required. This is now a design choice, not an engineering necessity — flag for a decision.</w:t>
      </w:r>
    </w:p>
    <w:p>
      <w:pPr>
        <w:pStyle w:val="Heading1"/>
      </w:pPr>
      <w:r>
        <w:t xml:space="preserve">9. Bill of Materials (working list)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200"/>
        <w:gridCol w:w="19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 / form</w:t>
            </w:r>
          </w:p>
        </w:tc>
        <w:tc>
          <w:tcPr>
            <w:tcW w:type="dxa" w:w="1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Gaze-array photodiode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SMD</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940 nm tuned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Gaze-array IR emitter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 dome lens</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940 nm, 35° beam</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Photodiode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One per eye, or shared with care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LED 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Bosch BMI270 or ST LSM6DSOX</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Head orientation; needs sensor-fusion firmware, Section 4</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Nordic nRF52832/nRF52840-class radio</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radio, ESB protocol</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 SMD</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Low-latency real-time control link, Section 7</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LTO micro pin/button cells (×2)</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battery, split across temple arms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≈110–165 mAh each</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≈220–330 mAh combined target, Section 6</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TI BQ25120A (or similar), one per cell</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Charge management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2.5×2.5 mm or larger</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max rated current against the final cell size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LiPo</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Case buffer battery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≈1000 mAh</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Could likely shrink given the lower bridge-module draw; kept conservative pending case design</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Qi receiver coil</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Case ambient charging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ATECC608A (optional)</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Secure key storage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 only if higher security bar required</w:t>
            </w:r>
          </w:p>
        </w:tc>
      </w:tr>
    </w:tbl>
    <w:p>
      <w:pPr>
        <w:pBdr>
          <w:left w:val="single" w:color="2E75B6" w:sz="12" w:space="8"/>
        </w:pBdr>
        <w:spacing w:after="200" w:before="60"/>
        <w:ind w:left="120"/>
      </w:pPr>
      <w:r>
        <w:rPr>
          <w:i/>
          <w:iCs/>
          <w:color w:val="595959"/>
          <w:sz w:val="21"/>
          <w:szCs w:val="21"/>
        </w:rPr>
        <w:t xml:space="preserve">REMOVED from the BOM in this revision (no longer needed): stereo RGB/IR camera pair, the on-board vision/coordinate-extraction chip, front IR illumination, and any Wi-Fi/UWB-class radio — all artifacts of the camera-based object-detection use case this product no longer targets.</w:t>
      </w:r>
    </w:p>
    <w:p>
      <w:pPr>
        <w:pStyle w:val="Heading1"/>
      </w:pPr>
      <w:r>
        <w:t xml:space="preserve">10. Open Engineering Questions</w:t>
      </w:r>
    </w:p>
    <w:p>
      <w:pPr>
        <w:pStyle w:val="ListParagraph"/>
        <w:numPr>
          <w:ilvl w:val="0"/>
          <w:numId w:val="2"/>
        </w:numPr>
        <w:spacing w:after="80"/>
      </w:pPr>
      <w:r>
        <w:t xml:space="preserve">Confirm the bridge-module-to-robot direct link assumption (Section 1) — top priority architecture confirmation.</w:t>
      </w:r>
    </w:p>
    <w:p>
      <w:pPr>
        <w:pStyle w:val="ListParagraph"/>
        <w:numPr>
          <w:ilvl w:val="0"/>
          <w:numId w:val="2"/>
        </w:numPr>
        <w:spacing w:after="80"/>
      </w:pPr>
      <w:r>
        <w:t xml:space="preserve">Decide: vergence-only depth vs. offloading range to the robot’s own depth sensors (Section 5) — affects accuracy expectations and the gaze array’s required precision.</w:t>
      </w:r>
    </w:p>
    <w:p>
      <w:pPr>
        <w:pStyle w:val="ListParagraph"/>
        <w:numPr>
          <w:ilvl w:val="0"/>
          <w:numId w:val="2"/>
        </w:numPr>
        <w:spacing w:after="80"/>
      </w:pPr>
      <w:r>
        <w:t xml:space="preserve">Confirm the head-orientation reference frame: absolute (compass) vs. relative to the robot/a calibration point (Section 4).</w:t>
      </w:r>
    </w:p>
    <w:p>
      <w:pPr>
        <w:pStyle w:val="ListParagraph"/>
        <w:numPr>
          <w:ilvl w:val="0"/>
          <w:numId w:val="2"/>
        </w:numPr>
        <w:spacing w:after="80"/>
      </w:pPr>
      <w:r>
        <w:t xml:space="preserve">Confirm whether blink, pupil size, and eye openness are still needed outputs, or just gaze direction and vergence (Section 3).</w:t>
      </w:r>
    </w:p>
    <w:p>
      <w:pPr>
        <w:pStyle w:val="ListParagraph"/>
        <w:numPr>
          <w:ilvl w:val="0"/>
          <w:numId w:val="2"/>
        </w:numPr>
        <w:spacing w:after="80"/>
      </w:pPr>
      <w:r>
        <w:t xml:space="preserve">Confirm the real-time latency requirement and the actual operating range needed for the robot use case (Section 7).</w:t>
      </w:r>
    </w:p>
    <w:p>
      <w:pPr>
        <w:pStyle w:val="ListParagraph"/>
        <w:numPr>
          <w:ilvl w:val="0"/>
          <w:numId w:val="2"/>
        </w:numPr>
        <w:spacing w:after="80"/>
      </w:pPr>
      <w:r>
        <w:t xml:space="preserve">Confirm radio compatibility with the host robot’s receiver/platform.</w:t>
      </w:r>
    </w:p>
    <w:p>
      <w:pPr>
        <w:pStyle w:val="ListParagraph"/>
        <w:numPr>
          <w:ilvl w:val="0"/>
          <w:numId w:val="2"/>
        </w:numPr>
        <w:spacing w:after="80"/>
      </w:pPr>
      <w:r>
        <w:t xml:space="preserve">Front-face industrial design: keep a camera-style cosmetic front, or simplify now that it’s not functionally required (Section 8)?</w:t>
      </w:r>
    </w:p>
    <w:p>
      <w:pPr>
        <w:pStyle w:val="Heading1"/>
      </w:pPr>
      <w:r>
        <w:t xml:space="preserve">11. Next Steps</w:t>
      </w:r>
    </w:p>
    <w:p>
      <w:pPr>
        <w:pStyle w:val="ListParagraph"/>
        <w:numPr>
          <w:ilvl w:val="0"/>
          <w:numId w:val="2"/>
        </w:numPr>
        <w:spacing w:after="80"/>
      </w:pPr>
      <w:r>
        <w:t xml:space="preserve">Build a minimal bench prototype — gaze array + IMU + nRF52 ESB radio sending the three-value packet to a test receiver — to validate the ≈29 mW estimate and real-world latency.</w:t>
      </w:r>
    </w:p>
    <w:p>
      <w:pPr>
        <w:pStyle w:val="ListParagraph"/>
        <w:numPr>
          <w:ilvl w:val="0"/>
          <w:numId w:val="2"/>
        </w:numPr>
        <w:spacing w:after="80"/>
      </w:pPr>
      <w:r>
        <w:t xml:space="preserve">Decide the depth/range approach (Section 5) before finalizing the gaze array’s required precision.</w:t>
      </w:r>
    </w:p>
    <w:p>
      <w:pPr>
        <w:pStyle w:val="ListParagraph"/>
        <w:numPr>
          <w:ilvl w:val="0"/>
          <w:numId w:val="2"/>
        </w:numPr>
        <w:spacing w:after="80"/>
      </w:pPr>
      <w:r>
        <w:t xml:space="preserve">Confirm host robot radio/protocol compatibility.</w:t>
      </w:r>
    </w:p>
    <w:p>
      <w:pPr>
        <w:pStyle w:val="ListParagraph"/>
        <w:numPr>
          <w:ilvl w:val="0"/>
          <w:numId w:val="2"/>
        </w:numPr>
        <w:spacing w:after="80"/>
      </w:pPr>
      <w:r>
        <w:t xml:space="preserve">Revisit the battery split and mechanical layout now that the target is ≈290 mAh rather than 940+ mAh.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Engineering Spec (Working Draft,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2026-06-27T17:49:42.367Z</dcterms:created>
  <dcterms:modified xsi:type="dcterms:W3CDTF">2026-06-27T17:49:42.380Z</dcterms:modified>
</cp:coreProperties>
</file>

<file path=docProps/custom.xml><?xml version="1.0" encoding="utf-8"?>
<Properties xmlns="http://schemas.openxmlformats.org/officeDocument/2006/custom-properties" xmlns:vt="http://schemas.openxmlformats.org/officeDocument/2006/docPropsVTypes"/>
</file>