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864"/>
          <w:sz w:val="56"/>
          <w:szCs w:val="56"/>
        </w:rPr>
        <w:t xml:space="preserve">Candour</w:t>
      </w:r>
    </w:p>
    <w:p>
      <w:pPr>
        <w:spacing w:after="300"/>
      </w:pPr>
      <w:r>
        <w:rPr>
          <w:color w:val="595959"/>
          <w:sz w:val="28"/>
          <w:szCs w:val="28"/>
        </w:rPr>
        <w:t xml:space="preserve">Product &amp; Compliance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Candour — Product &amp; Compliance Specification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CND-SPEC-001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v0.2 (supersedes v0.1, “ReArm Snap’n’Track” / RST-SPEC-001)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Internal — Pre-Certification Draft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[Name / role]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26 June 2026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Draft for internal audit review — not a certified compliance report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Distribution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Internal audit / compliance stakeholders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60"/>
      </w:pPr>
      <w:r>
        <w:t xml:space="preserve">This document summarizes the Candour product concept, system architecture, and known compliance, safety, and data-protection considerations, to support internal audit and pre-certification review.</w:t>
      </w:r>
    </w:p>
    <w:p>
      <w:pPr>
        <w:pBdr>
          <w:left w:val="single" w:color="C00000" w:sz="12" w:space="8"/>
        </w:pBdr>
        <w:spacing w:after="240" w:before="80"/>
        <w:ind w:left="120"/>
      </w:pPr>
      <w:r>
        <w:rPr>
          <w:i/>
          <w:iCs/>
          <w:color w:val="C00000"/>
          <w:sz w:val="21"/>
          <w:szCs w:val="21"/>
        </w:rPr>
        <w:t xml:space="preserve">This revision incorporates a significant architecture change — the addition of outward-facing stereo cameras alongside the original inward gaze-tracking concept — which introduces new regulatory and privacy considerations beyond the original gaze-only device. This remains a planning and review document, not a certified compliance report. Formal regulatory testing, legal review, and sign-off by accredited test houses and qualified counsel are required before market release.</w:t>
      </w:r>
    </w:p>
    <w:p>
      <w:pPr>
        <w:pStyle w:val="Heading1"/>
      </w:pPr>
      <w:r>
        <w:t xml:space="preserve">2. Product Description &amp; Intended Use</w:t>
      </w:r>
    </w:p>
    <w:p>
      <w:pPr>
        <w:spacing w:after="160"/>
      </w:pPr>
      <w:r>
        <w:t xml:space="preserve">Candour is a camera-equipped smart-eyewear bridge module: outward-facing stereo RGB cameras combined with an inward-facing binocular infrared gaze-tracking array, fused on-device to determine what the wearer is looking at and how far away it is. A companion mainboard, carried or placed nearby, receives the processed result.</w:t>
      </w:r>
    </w:p>
    <w:p>
      <w:pPr>
        <w:spacing w:after="160"/>
      </w:pPr>
      <w:r>
        <w:t xml:space="preserve">Components: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Bridge module — front: stereo cameras, IMU, on-board vision processor; rear: binocular IR gaze array.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Mainboard companion device — worn or carried separately from the glasses.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Charging case accessory — fast and ambient charging for the bridge module.</w:t>
      </w:r>
    </w:p>
    <w:p>
      <w:pPr>
        <w:pBdr>
          <w:left w:val="single" w:color="C00000" w:sz="12" w:space="8"/>
        </w:pBdr>
        <w:spacing w:after="240" w:before="80"/>
        <w:ind w:left="120"/>
      </w:pPr>
      <w:r>
        <w:rPr>
          <w:i/>
          <w:iCs/>
          <w:color w:val="C00000"/>
          <w:sz w:val="21"/>
          <w:szCs w:val="21"/>
        </w:rPr>
        <w:t xml:space="preserve">The addition of outward-facing cameras narrows what a “non-medical consumer accessory” framing can cover on its own, and introduces regulatory categories (recording devices, imaging-equipped wearables) that did not apply to the original gaze-only concept. Re-confirm the intended-use statement with this in mind before relying on the rest of this section.</w:t>
      </w:r>
    </w:p>
    <w:p>
      <w:pPr>
        <w:pStyle w:val="Heading1"/>
      </w:pPr>
      <w:r>
        <w:t xml:space="preserve">3.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Bridge module — front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Captures stereo imagery and builds a 3D map of the scene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Outward-facing; new in this revision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Bridge module — rear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Tracks both eyes’ gaze via reflected infrared, no inward cameras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Inward-facing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Mainboard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Receives the fused gaze/scene result, processes and stores it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Carried by the user or left stationary nearby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Charging case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Houses charging electronics for the bridge module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Accessory item, not part of the active data path</w:t>
            </w:r>
          </w:p>
        </w:tc>
      </w:tr>
    </w:tbl>
    <w:p>
      <w:pPr>
        <w:spacing w:after="160"/>
      </w:pPr>
      <w:r>
        <w:t xml:space="preserve">Design intent: the bridge module fuses gaze vectors with the 3D scene map on-device, and the wireless link is intended to carry only this fused, compact result — not raw camera frames and not raw photodiode traces.</w:t>
      </w:r>
    </w:p>
    <w:p>
      <w:pPr>
        <w:pBdr>
          <w:left w:val="single" w:color="C00000" w:sz="12" w:space="8"/>
        </w:pBdr>
        <w:spacing w:after="240" w:before="80"/>
        <w:ind w:left="120"/>
      </w:pPr>
      <w:r>
        <w:rPr>
          <w:i/>
          <w:iCs/>
          <w:color w:val="C00000"/>
          <w:sz w:val="21"/>
          <w:szCs w:val="21"/>
        </w:rPr>
        <w:t xml:space="preserve">This is a stated design intent, not yet a verified implementation. It should be confirmed in firmware/code review before being relied on as a privacy mitigation in Sections 5 and 6.</w:t>
      </w:r>
    </w:p>
    <w:p>
      <w:pPr>
        <w:pStyle w:val="Heading1"/>
      </w:pPr>
      <w:r>
        <w:t xml:space="preserve">4. Regulatory &amp; Standards Considerations</w:t>
      </w:r>
    </w:p>
    <w:p>
      <w:pPr>
        <w:spacing w:after="160"/>
      </w:pPr>
      <w:r>
        <w:t xml:space="preserve">The table below identifies frameworks that are likely relevant given the product description. It is a starting point for due diligence, not a determination of applicability or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Likely applicable framework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Radio emissions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UK: Radio Equipment Regs / UKCA; EU: RED / CE; US: FCC Part 15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2.4 GHz radio is an intentional radiator and typically needs type approval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tested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 exposure near the body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ICNIRP guidelines / SAR-style assessment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Device is worn on the head; near-body exposure limits can apply even at low transmit power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assessed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Battery safety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IEC 62133-2 (cell/pack safety); UN 38.3 (transport)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Fast-charge battery worn close to the face; charge profile is being re-derived (see engineering spec)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tested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Optical / IR eye safety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IEC 62471; ISO 15004-2 (ophthalmic instruments)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Two to four 940 nm IR LEDs per eye sit close to and continuously illuminate the eye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assessed — new in this revision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Recording-device / surveillance rules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Varies by jurisdiction — wiretap/consent law, bystander-recording rules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Outward-facing cameras can capture identifiable third parties without their knowledge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assessed — new in this revision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Electrical / thermal safety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IEC 62368-1 (or IEC 60950-1 legacy)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General consumer product electrical safety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assessed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Materials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RoHS; REACH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Standard requirement for electronics sold in the UK/EU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assessed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End-of-life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WEEE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Producer take-back and labelling obligations for electronic accessories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assessed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 protection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UK GDPR / EU GDPR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Now covers both gaze biometric data and bystander camera imagery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See Section 5</w:t>
            </w:r>
          </w:p>
        </w:tc>
      </w:tr>
    </w:tbl>
    <w:p>
      <w:pPr>
        <w:pBdr>
          <w:left w:val="single" w:color="C00000" w:sz="12" w:space="8"/>
        </w:pBdr>
        <w:spacing w:after="240" w:before="80"/>
        <w:ind w:left="120"/>
      </w:pPr>
      <w:r>
        <w:rPr>
          <w:i/>
          <w:iCs/>
          <w:color w:val="C00000"/>
          <w:sz w:val="21"/>
          <w:szCs w:val="21"/>
        </w:rPr>
        <w:t xml:space="preserve">Engage an accredited test lab and qualified legal counsel to confirm which obligations actually apply, particularly for the two rows newly introduced by the camera addition, before sale.</w:t>
      </w:r>
    </w:p>
    <w:p>
      <w:pPr>
        <w:pStyle w:val="Heading1"/>
      </w:pPr>
      <w:r>
        <w:t xml:space="preserve">5. Data Privacy &amp; Biometric / Bystander Data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Gaze-tracking data can reveal sensitive information about a person and may be treated as biometric data under data protection law if used to identify an individual — carried over from the original gaze-only 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in this revision: the outward stereo cameras capture imagery of the wearer’s environment, which will often include identifiable bystanders. Capturing other people’s images without their knowledge is a separate, often more demanding compliance question than gaze data alone, and is the kind of issue that has drawn regulatory and public scrutiny for other camera-equipped smart glasses products.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Mitigating design intent: on-device fusion means only a processed gaze/scene result is meant to leave the bridge module, not raw camera frames or raw photodiode traces — a meaningful privacy-by-design choice, but one that needs implementation verification (see Section 3 caveat), and it does not by itself remove the need for a recording indicator or a DPIA.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Recommended: a visible, active recording indicator (the bridge module’s front status LED is a candidate) so bystanders can tell when the outward cameras are active; a DPIA covering both gaze data and bystander imagery; and a documented data-retention and use policy.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Encryption: the link uses AES-128. Key-provisioning method (on-chip TRNG-generated session keys vs. a static shared key) still needs to be finalized and verified in code review.</w:t>
      </w:r>
    </w:p>
    <w:p>
      <w:pPr>
        <w:pStyle w:val="Heading1"/>
      </w:pPr>
      <w:r>
        <w:t xml:space="preserve">6. Safety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40"/>
        <w:gridCol w:w="332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Current design mitigation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Residual risk / open action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Battery thermal event during fast charge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LTO-class chemistry intended to tolerate high charge rates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Charge profile and capacity are being re-derived for the new power draw; re-test once finalized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 exposure near eyes/face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Default low transmit power when the mainboard is nearby; power only increases when needed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Formal RF exposure assessment not yet performed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Continuous near-IR exposure to the eye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940 nm wavelength and low-power emitters, in line with common commercial eye-tracker practice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New risk in this revision — requires IEC 62471 / ISO 15004-2 testing; emitters sit closer to, and aim more continuously at, the eye than typical AR-glasses use cases, so low apparent power should not be assumed sufficient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Unresolved power/thermal budget for the camera + vision-processor stack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None yet — flagged as the top engineering priority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New risk in this revision — battery-safety and thermal conclusions elsewhere in this register cannot be finalized until this is resolved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Bystander recording without consent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On-device fusion (raw frames not transmitted); proposed status indicator LED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New risk in this revision — needs an explicit recording-indicator policy and legal review per target jurisdiction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Mechanical detachment from glasses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CNC-machined housing direction adopted; attachment method not yet finalized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Define attachment method and run mechanical fatigue testing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Small-parts / ingress hazard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Sealed enclosure intended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 enclosure design and ingress protection rating</w:t>
            </w:r>
          </w:p>
        </w:tc>
      </w:tr>
    </w:tbl>
    <w:p>
      <w:pPr>
        <w:pStyle w:val="Heading1"/>
      </w:pPr>
      <w:r>
        <w:t xml:space="preserve">7.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Wireless link is encrypted using AES-128.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firmware-hardcoded keys is a stated design goal; needs implementation and code review to confirm before audit sign-off.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Firmware update path (over-the-air or wired) is not yet defined. A signed-firmware update mechanism is recommended for a body-worn, camera-equipped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any compressed scene imagery or model intermediate output is ever logged or transmitted beyond the fused gaze/object result, that needs separate documentation and review, since it changes the data-protection analysis in Section 5.</w:t>
      </w:r>
    </w:p>
    <w:p>
      <w:pPr>
        <w:pStyle w:val="Heading1"/>
      </w:pPr>
      <w:r>
        <w:t xml:space="preserve">8. Quality &amp; Reliability Notes</w:t>
      </w:r>
    </w:p>
    <w:p>
      <w:pPr>
        <w:spacing w:after="160"/>
      </w:pPr>
      <w:r>
        <w:t xml:space="preserve">Headline claims that need formal validation before any audit sign-off: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48-hour runtime per charge — currently unconfirmed; the underlying power budget is being re-derived to account for the new camera and vision-processor stack (see engineering specification).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≤10-minute full recharge — likewise unconfirmed pending the same rework.</w:t>
      </w:r>
    </w:p>
    <w:p>
      <w:pPr>
        <w:spacing w:after="160"/>
      </w:pPr>
      <w:r>
        <w:t xml:space="preserve">Recommended test plan: battery cycle-life testing once the cell is finalized, real-world RF range testing across representative home layouts, near-IR eye-safety testing for the gaze array, and everyday-wear environmental testing (moisture/sweat exposure, drop testing for the bridge module).</w:t>
      </w:r>
    </w:p>
    <w:p>
      <w:pPr>
        <w:pStyle w:val="Heading1"/>
      </w:pPr>
      <w:r>
        <w:t xml:space="preserve">9. Open Items Before Audit Sign-Off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Formally define the intended-use statement — now more consequential given the addition of outward-facing cameras.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a DPIA covering both gaze biometric data and bystander camera capture.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Re-derive and validate the power/thermal budget for the new front-facing camera and vision-processor stack.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Commission IEC 62471 / ISO 15004-2 near-infrared eye-safety testing for the gaze-array LEDs.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Commission RF emissions/exposure and battery safety testing once a working prototype exists.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and document a bystander-notification approach (e.g. a recording indicator) and review it against applicable recording/consent law per target market.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and implement the firmware key-management and update-signing approach.</w:t>
      </w:r>
    </w:p>
    <w:p>
      <w:pPr>
        <w:pStyle w:val="Heading1"/>
      </w:pPr>
      <w:r>
        <w:t xml:space="preserve">10.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80"/>
        <w:gridCol w:w="328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Author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Change description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 June 2026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[Name]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Initial draft for internal audit review (as “ReArm Snap’n’Track”)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v0.2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26 June 2026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[Name]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Renamed product to Candour; architecture updated to add outward-facing stereo cameras and a binocular flat-IR gaze array; added camera-related privacy/regulatory considerations and a near-IR eye-safety risk</w:t>
            </w:r>
          </w:p>
        </w:tc>
      </w:tr>
    </w:tbl>
    <w:p>
      <w:pPr>
        <w:pStyle w:val="Heading1"/>
      </w:pPr>
      <w:r>
        <w:t xml:space="preserve">11. Approval</w:t>
      </w:r>
    </w:p>
    <w:p>
      <w:pPr>
        <w:tabs>
          <w:tab w:val="left" w:pos="4513"/>
        </w:tabs>
        <w:spacing w:after="360"/>
      </w:pPr>
      <w:r>
        <w:rPr>
          <w:b/>
          <w:bCs/>
        </w:rPr>
        <w:t xml:space="preserve">Prepared by:</w:t>
      </w:r>
      <w:r>
        <w:t xml:space="preserve">  ___________________________</w:t>
      </w:r>
      <w:r>
        <w:t xml:space="preserve">	Date:  ___________________</w:t>
      </w:r>
    </w:p>
    <w:p>
      <w:pPr>
        <w:tabs>
          <w:tab w:val="left" w:pos="4513"/>
        </w:tabs>
        <w:spacing w:after="360"/>
      </w:pPr>
      <w:r>
        <w:rPr>
          <w:b/>
          <w:bCs/>
        </w:rPr>
        <w:t xml:space="preserve">Reviewed by (technical):</w:t>
      </w:r>
      <w:r>
        <w:t xml:space="preserve">  ___________________________</w:t>
      </w:r>
      <w:r>
        <w:t xml:space="preserve">	Date:  ___________________</w:t>
      </w:r>
    </w:p>
    <w:p>
      <w:pPr>
        <w:tabs>
          <w:tab w:val="left" w:pos="4513"/>
        </w:tabs>
        <w:spacing w:after="360"/>
      </w:pPr>
      <w:r>
        <w:rPr>
          <w:b/>
          <w:bCs/>
        </w:rPr>
        <w:t xml:space="preserve">Reviewed by (compliance/legal):</w:t>
      </w:r>
      <w:r>
        <w:t xml:space="preserve">  ___________________________</w:t>
      </w:r>
      <w:r>
        <w:t xml:space="preserve">	Date:  ___________________</w:t>
      </w:r>
    </w:p>
    <w:p>
      <w:pPr>
        <w:tabs>
          <w:tab w:val="left" w:pos="4513"/>
        </w:tabs>
        <w:spacing w:after="360"/>
      </w:pPr>
      <w:r>
        <w:rPr>
          <w:b/>
          <w:bCs/>
        </w:rPr>
        <w:t xml:space="preserve">Approved by:</w:t>
      </w:r>
      <w:r>
        <w:t xml:space="preserve">  ___________________________</w:t>
      </w:r>
      <w:r>
        <w:t xml:space="preserve">	Date:  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95959"/>
        <w:sz w:val="16"/>
        <w:szCs w:val="16"/>
      </w:rPr>
      <w:t xml:space="preserve">Candour — Product &amp; Compliance Specification — CND-SPEC-001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2026-06-25T23:08:28.640Z</dcterms:created>
  <dcterms:modified xsi:type="dcterms:W3CDTF">2026-06-25T23:08:28.641Z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