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3864"/>
          <w:sz w:val="56"/>
          <w:szCs w:val="56"/>
        </w:rPr>
        <w:t xml:space="preserve">ReArm Snap’n’Track</w:t>
      </w:r>
    </w:p>
    <w:p>
      <w:pPr>
        <w:spacing w:after="300"/>
      </w:pPr>
      <w:r>
        <w:rPr>
          <w:color w:val="595959"/>
          <w:sz w:val="28"/>
          <w:szCs w:val="28"/>
        </w:rPr>
        <w:t xml:space="preserve">Product &amp; Compliance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Document title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ReArm Snap’n’Track — Product &amp; Compliance Specification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RST-SPEC-001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v0.1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Internal — Pre-Certification Draft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[Name / role]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19 June 2026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Draft for internal audit review — not a certified compliance report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Distribution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Internal audit / compliance stakeholders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Purpose &amp; Scope</w:t>
      </w:r>
    </w:p>
    <w:p>
      <w:pPr>
        <w:spacing w:after="160"/>
      </w:pPr>
      <w:r>
        <w:t xml:space="preserve">This document summarizes the ReArm Snap’n’Track product concept, system architecture, and known compliance, safety, and data-protection considerations, to support internal audit and pre-certification review.</w:t>
      </w:r>
    </w:p>
    <w:p>
      <w:pPr>
        <w:pBdr>
          <w:left w:val="single" w:color="C00000" w:sz="12" w:space="8"/>
        </w:pBdr>
        <w:spacing w:after="240" w:before="80"/>
        <w:ind w:left="120"/>
      </w:pPr>
      <w:r>
        <w:rPr>
          <w:i/>
          <w:iCs/>
          <w:color w:val="C00000"/>
          <w:sz w:val="21"/>
          <w:szCs w:val="21"/>
        </w:rPr>
        <w:t xml:space="preserve">This is a planning and review document, not a certified compliance report. Formal regulatory testing, legal review, and sign-off by accredited test houses and qualified counsel are required before market release. Nothing in this document should be treated as a certification or legal determination.</w:t>
      </w:r>
    </w:p>
    <w:p>
      <w:pPr>
        <w:pStyle w:val="Heading1"/>
      </w:pPr>
      <w:r>
        <w:t xml:space="preserve">2. Product Description &amp; Intended Use</w:t>
      </w:r>
    </w:p>
    <w:p>
      <w:pPr>
        <w:spacing w:after="160"/>
      </w:pPr>
      <w:r>
        <w:t xml:space="preserve">ReArm Snap’n’Track is a two-part wireless add-on accessory for prescription or cosmetic eyeglasses that adds gaze (eye-tracking) data capture.</w:t>
      </w:r>
    </w:p>
    <w:p>
      <w:pPr>
        <w:spacing w:after="160"/>
      </w:pPr>
      <w:r>
        <w:t xml:space="preserve">Components: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Satellite sensor module — mounted at the nose bridge of the glasses.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Mainboard companion device — worn or carried separately from the glasses.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Charging case accessory — provides fast and ambient charging for the satellite module.</w:t>
      </w:r>
    </w:p>
    <w:p>
      <w:pPr>
        <w:spacing w:after="160"/>
      </w:pPr>
      <w:r>
        <w:t xml:space="preserve">Intended use: to be formally defined by the product owner (for example: consumer accessibility aid, AR/gaming input device, or research data-collection tool). The intended use materially changes which regulatory regime applies — for instance, marketing claims that touch on diagnosis or treatment would trigger medical-device regulation.</w:t>
      </w:r>
    </w:p>
    <w:p>
      <w:pPr>
        <w:pBdr>
          <w:left w:val="single" w:color="C00000" w:sz="12" w:space="8"/>
        </w:pBdr>
        <w:spacing w:after="240" w:before="80"/>
        <w:ind w:left="120"/>
      </w:pPr>
      <w:r>
        <w:rPr>
          <w:i/>
          <w:iCs/>
          <w:color w:val="C00000"/>
          <w:sz w:val="21"/>
          <w:szCs w:val="21"/>
        </w:rPr>
        <w:t xml:space="preserve">Current working assumption: this is a consumer, non-medical accessory. This assumption must be confirmed and documented before proceeding, as it underpins the regulatory analysis in Section 4.</w:t>
      </w:r>
    </w:p>
    <w:p>
      <w:pPr>
        <w:pStyle w:val="Heading1"/>
      </w:pPr>
      <w:r>
        <w:t xml:space="preserve">3. 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Satellite (nose bridge)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Captures gaze data and extracts coordinates on-device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Designed to be minimal in size and weight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Mainboard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Receives, decrypts, and processes gaze data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Carried by the user or left stationary nearby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Charging case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Houses charging electronics for the satellite module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Accessory item, not part of the active data path</w:t>
            </w:r>
          </w:p>
        </w:tc>
      </w:tr>
    </w:tbl>
    <w:p>
      <w:pPr>
        <w:spacing w:after="160"/>
      </w:pPr>
      <w:r>
        <w:t xml:space="preserve">Wireless link: short-range 2.4 GHz proprietary protocol, AES-128 encrypted, designed for in-home range (tens of metres). Only extracted X/Y gaze coordinates are transmitted — raw imagery is not sent wirelessly.</w:t>
      </w:r>
    </w:p>
    <w:p>
      <w:pPr>
        <w:pStyle w:val="Heading1"/>
      </w:pPr>
      <w:r>
        <w:t xml:space="preserve">4. Regulatory &amp; Standards Considerations</w:t>
      </w:r>
    </w:p>
    <w:p>
      <w:pPr>
        <w:spacing w:after="160"/>
      </w:pPr>
      <w:r>
        <w:t xml:space="preserve">The table below identifies frameworks that are likely relevant given the product description. It is a starting point for due diligence, not a determination of applicability or compliance.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60"/>
        <w:gridCol w:w="20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Likely applicable framework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Radio emissions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UK: Radio Equipment Regs / UKCA; EU: RED / CE; US: FCC Part 15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The 2.4 GHz radio is an intentional radiator and typically needs type approval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 yet tested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RF exposure near the body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ICNIRP guidelines / SAR-style assessment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Device is worn on the head; near-body exposure limits can apply even at low transmit power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 yet assessed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Battery safety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IEC 62133-2 (cell/pack safety); UN 38.3 (transport)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Uses a fast-charge LTO cell worn close to the face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 yet tested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Electrical / thermal safety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IEC 62368-1 (or IEC 60950-1 legacy)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General consumer product electrical safety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 yet assessed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Materials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RoHS; REACH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Standard requirement for electronics sold in the UK/EU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 yet assessed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End-of-life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WEEE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Producer take-back and labelling obligations for electronic accessories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Not yet assessed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 protection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UK GDPR / EU GDPR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Gaze data may qualify as biometric or special-category data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See Section 5</w:t>
            </w:r>
          </w:p>
        </w:tc>
      </w:tr>
    </w:tbl>
    <w:p>
      <w:pPr>
        <w:pBdr>
          <w:left w:val="single" w:color="C00000" w:sz="12" w:space="8"/>
        </w:pBdr>
        <w:spacing w:after="240" w:before="80"/>
        <w:ind w:left="120"/>
      </w:pPr>
      <w:r>
        <w:rPr>
          <w:i/>
          <w:iCs/>
          <w:color w:val="C00000"/>
          <w:sz w:val="21"/>
          <w:szCs w:val="21"/>
        </w:rPr>
        <w:t xml:space="preserve">Engage an accredited test lab and qualified legal counsel to confirm which obligations actually apply before sale, particularly once the final intended use (Section 2) is locked in.</w:t>
      </w:r>
    </w:p>
    <w:p>
      <w:pPr>
        <w:pStyle w:val="Heading1"/>
      </w:pPr>
      <w:r>
        <w:t xml:space="preserve">5. Data Privacy &amp; Biometric Data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Gaze-tracking data can reveal sensitive information about a person (attention patterns, and potentially health-related signals), and may be treated as biometric data under data protection law if it is used to identify an individual.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privacy-supportive design choice already in place: the satellite extracts X/Y coordinates on-chip and never transmits raw imagery, which limits what is exposed over the wireless link.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 before launch: a Data Protection Impact Assessment (DPIA), a documented data retention and use policy for any companion app or storage, and a clear justification if any gaze data leaves the device (for example, to an app or cloud service).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Encryption: the link uses AES-128. The key-provisioning method (on-chip TRNG-generated session keys vs. a static shared key) needs to be finalized and verified in code review — “no hardcoded key” is currently a design intent, not yet a confirmed implementation.</w:t>
      </w:r>
    </w:p>
    <w:p>
      <w:pPr>
        <w:pStyle w:val="Heading1"/>
      </w:pPr>
      <w:r>
        <w:t xml:space="preserve">6. Safety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40"/>
        <w:gridCol w:w="3320"/>
      </w:tblGrid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Current design mitigation</w:t>
            </w:r>
          </w:p>
        </w:tc>
        <w:tc>
          <w:tcPr>
            <w:tcW w:type="dxa" w:w="3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Residual risk / open action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Battery thermal event during fast charge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LTO chemistry tolerates high charge rates better than standard LiPo</w:t>
            </w:r>
          </w:p>
        </w:tc>
        <w:tc>
          <w:tcPr>
            <w:tcW w:type="dxa" w:w="3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Validate with cell-level abuse testing before production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RF exposure near eyes/face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Default low transmit power when the mainboard is nearby; power only increases when needed for range</w:t>
            </w:r>
          </w:p>
        </w:tc>
        <w:tc>
          <w:tcPr>
            <w:tcW w:type="dxa" w:w="3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Formal RF exposure assessment not yet performed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Mechanical detachment from glasses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Attachment method not yet finalized</w:t>
            </w:r>
          </w:p>
        </w:tc>
        <w:tc>
          <w:tcPr>
            <w:tcW w:type="dxa" w:w="3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Define attachment method and run mechanical fatigue testing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Small-parts / ingress hazard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Sealed enclosure intended</w:t>
            </w:r>
          </w:p>
        </w:tc>
        <w:tc>
          <w:tcPr>
            <w:tcW w:type="dxa" w:w="3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Confirm enclosure design and ingress protection rating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Heat against skin at the nose bridge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Low average current draw target (≈1.5 mA) keeps the module cool</w:t>
            </w:r>
          </w:p>
        </w:tc>
        <w:tc>
          <w:tcPr>
            <w:tcW w:type="dxa" w:w="3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Confirm with thermal testing once the gaze sensor is finalized</w:t>
            </w:r>
          </w:p>
        </w:tc>
      </w:tr>
    </w:tbl>
    <w:p>
      <w:pPr>
        <w:pStyle w:val="Heading1"/>
      </w:pPr>
      <w:r>
        <w:t xml:space="preserve">7. 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Wireless link is encrypted using AES-128.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firmware-hardcoded keys is a stated design goal; this needs implementation and code review to confirm before audit sign-off.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Firmware update path (over-the-air or wired) is not yet defined. A signed-firmware update mechanism is recommended to prevent unauthorized firmware on a body-worn device.</w:t>
      </w:r>
    </w:p>
    <w:p>
      <w:pPr>
        <w:pStyle w:val="Heading1"/>
      </w:pPr>
      <w:r>
        <w:t xml:space="preserve">8. Quality &amp; Reliability Notes</w:t>
      </w:r>
    </w:p>
    <w:p>
      <w:pPr>
        <w:spacing w:after="160"/>
      </w:pPr>
      <w:r>
        <w:t xml:space="preserve">Headline claims that need formal validation before any audit sign-off: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48-hour runtime per charge — currently a calculated estimate, not a measured result.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≤10-minute full recharge — currently a calculated estimate, not a measured result.</w:t>
      </w:r>
    </w:p>
    <w:p>
      <w:pPr>
        <w:spacing w:after="160"/>
      </w:pPr>
      <w:r>
        <w:t xml:space="preserve">Recommended test plan: battery cycle-life testing, real-world RF range testing across representative home layouts, and everyday-wear environmental testing (moisture/sweat exposure, drop testing for the nose-bridge module).</w:t>
      </w:r>
    </w:p>
    <w:p>
      <w:pPr>
        <w:pStyle w:val="Heading1"/>
      </w:pPr>
      <w:r>
        <w:t xml:space="preserve">9. Open Items Before Audit Sign-Off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Formally define the intended use statement (this affects regulatory classification — see Section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a DPIA covering gaze-data handling.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Finalize the gaze sensor selection and re-validate the power/thermal budget.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Commission formal RF emissions and exposure testing once a working prototype exists.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Commission battery safety testing (IEC 62133-2 / UN 38.3) on the chosen cell.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and implement the firmware key-management and update-signing approach.</w:t>
      </w:r>
    </w:p>
    <w:p>
      <w:pPr>
        <w:pStyle w:val="Heading1"/>
      </w:pPr>
      <w:r>
        <w:t xml:space="preserve">10.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80"/>
        <w:gridCol w:w="328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Author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Change description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v0.1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19 June 2026</w:t>
            </w:r>
          </w:p>
        </w:tc>
        <w:tc>
          <w:tcPr>
            <w:tcW w:type="dxa" w:w="2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[Name]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Initial draft for internal audit review</w:t>
            </w:r>
          </w:p>
        </w:tc>
      </w:tr>
    </w:tbl>
    <w:p>
      <w:pPr>
        <w:pStyle w:val="Heading1"/>
      </w:pPr>
      <w:r>
        <w:t xml:space="preserve">11. Approval</w:t>
      </w:r>
    </w:p>
    <w:p>
      <w:pPr>
        <w:tabs>
          <w:tab w:val="left" w:pos="4513"/>
        </w:tabs>
        <w:spacing w:after="360"/>
      </w:pPr>
      <w:r>
        <w:rPr>
          <w:b/>
          <w:bCs/>
        </w:rPr>
        <w:t xml:space="preserve">Prepared by:</w:t>
      </w:r>
      <w:r>
        <w:t xml:space="preserve">  ___________________________</w:t>
      </w:r>
      <w:r>
        <w:t xml:space="preserve">	Date:  ___________________</w:t>
      </w:r>
    </w:p>
    <w:p>
      <w:pPr>
        <w:tabs>
          <w:tab w:val="left" w:pos="4513"/>
        </w:tabs>
        <w:spacing w:after="360"/>
      </w:pPr>
      <w:r>
        <w:rPr>
          <w:b/>
          <w:bCs/>
        </w:rPr>
        <w:t xml:space="preserve">Reviewed by (technical):</w:t>
      </w:r>
      <w:r>
        <w:t xml:space="preserve">  ___________________________</w:t>
      </w:r>
      <w:r>
        <w:t xml:space="preserve">	Date:  ___________________</w:t>
      </w:r>
    </w:p>
    <w:p>
      <w:pPr>
        <w:tabs>
          <w:tab w:val="left" w:pos="4513"/>
        </w:tabs>
        <w:spacing w:after="360"/>
      </w:pPr>
      <w:r>
        <w:rPr>
          <w:b/>
          <w:bCs/>
        </w:rPr>
        <w:t xml:space="preserve">Reviewed by (compliance/legal):</w:t>
      </w:r>
      <w:r>
        <w:t xml:space="preserve">  ___________________________</w:t>
      </w:r>
      <w:r>
        <w:t xml:space="preserve">	Date:  ___________________</w:t>
      </w:r>
    </w:p>
    <w:p>
      <w:pPr>
        <w:tabs>
          <w:tab w:val="left" w:pos="4513"/>
        </w:tabs>
        <w:spacing w:after="360"/>
      </w:pPr>
      <w:r>
        <w:rPr>
          <w:b/>
          <w:bCs/>
        </w:rPr>
        <w:t xml:space="preserve">Approved by:</w:t>
      </w:r>
      <w:r>
        <w:t xml:space="preserve">  ___________________________</w:t>
      </w:r>
      <w:r>
        <w:t xml:space="preserve">	Date:  ___________________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95959"/>
        <w:sz w:val="16"/>
        <w:szCs w:val="16"/>
      </w:rPr>
      <w:t xml:space="preserve">ReArm Snap’n’Track — Product &amp; Compliance Specification — RST-SPEC-001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2026-06-19T13:10:11.429Z</dcterms:created>
  <dcterms:modified xsi:type="dcterms:W3CDTF">2026-06-19T13:10:11.429Z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