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  <w:color w:val="1F3864"/>
          <w:sz w:val="56"/>
          <w:szCs w:val="56"/>
        </w:rPr>
        <w:t xml:space="preserve">ReArm Snap’n’Track</w:t>
      </w:r>
    </w:p>
    <w:p>
      <w:pPr>
        <w:spacing w:after="300"/>
      </w:pPr>
      <w:r>
        <w:rPr>
          <w:color w:val="595959"/>
          <w:sz w:val="28"/>
          <w:szCs w:val="28"/>
        </w:rPr>
        <w:t xml:space="preserve">Engineering Specification — Working Draft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ReArm Snap’n’Track — Engineering Specification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v0.1 (working draft)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Draft — architecture exploration; not bench-validated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[Your name]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 June 2026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Distribution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Internal / maker use only — not for external release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Product Overview</w:t>
      </w:r>
    </w:p>
    <w:p>
      <w:pPr>
        <w:spacing w:after="160"/>
      </w:pPr>
      <w:r>
        <w:t xml:space="preserve">ReArm Snap’n’Track is a two-piece add-on system for prescription or cosmetic eyeglasses that adds gaze (eye-tracking) capability without materially changing the size, weight, or balance of the glasses. A tiny sensor module sits on the nose bridge and streams compressed gaze-coordinate data wirelessly to a separate, less space-constrained mainboard that the user carries or sets down nearby.</w:t>
      </w:r>
    </w:p>
    <w:p>
      <w:pPr>
        <w:spacing w:after="120"/>
      </w:pPr>
      <w:r>
        <w:rPr>
          <w:b/>
          <w:bCs/>
        </w:rPr>
        <w:t xml:space="preserve">Design goals (from requirements gathering):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Nose-bridge module must be near-invisible: minimal mass, no forward pull on the 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Wireless link only needs to cover “across the house” distances (roughly 15–30 m, degraded by walls).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 must keep working whether the mainboard is on the user’s body or set down stationary.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Nose-bridge battery: 48-hour runtime per charge, full recharge in ≤10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Communication must be encrypted end-to-end.</w:t>
      </w:r>
    </w:p>
    <w:p>
      <w:pPr>
        <w:pStyle w:val="Heading1"/>
      </w:pPr>
      <w:r>
        <w:t xml:space="preserve">2. System Architecture</w:t>
      </w:r>
    </w:p>
    <w:p>
      <w:pPr>
        <w:spacing w:after="160"/>
      </w:pPr>
      <w:r>
        <w:t xml:space="preserve">The system has two active nodes plus one charging accessory: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Node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constraint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Satellite (nose bridge)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IR/optical gaze sensing + on-chip coordinate extraction + radio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Ultra-small, ultra-light, low heat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Mainboard (carried or set down)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Radio + logging/compute + larger battery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Must keep the link reliable whether worn or stationary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Charging case (accessory)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Houses reservoir battery, Qi receiver coil, and pogo-pin dock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Delivers the 10-minute fast top-up and ambient desk charging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Data flow:</w:t>
      </w:r>
    </w:p>
    <w:p>
      <w:pPr>
        <w:spacing w:after="160"/>
      </w:pPr>
      <w:r>
        <w:t xml:space="preserve">Satellite captures gaze → computes X/Y coordinates on-chip → encrypts → transmits coordinate packet → Mainboard receives and decrypts, logs/processes, and returns an acknowledgement carrying RSSI → Satellite adjusts its next transmit power accordingly.</w:t>
      </w:r>
    </w:p>
    <w:p>
      <w:pPr>
        <w:pStyle w:val="Heading1"/>
      </w:pPr>
      <w:r>
        <w:t xml:space="preserve">3. Satellite Node (Nose Bridge) — Detailed Spec</w:t>
      </w:r>
    </w:p>
    <w:p>
      <w:pPr>
        <w:pStyle w:val="Heading2"/>
      </w:pPr>
      <w:r>
        <w:t xml:space="preserve">3.1 Compute + Radio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candidate: Nordic Semiconductor nRF52832 or nRF52811, WLCSP package (≈ 2.5 × 2.5 mm) — combines a BLE-class radio and a Cortex-M4 MCU in one die-scale package.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Protocol: not standard BLE GATT — use Nordic Enhanced ShockBurst (ESB), a lightweight proprietary 2.4 GHz packet protocol, to avoid BLE connection-interval latency.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Hardware-accelerated AES-128 encryption block on-chip.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Prototyping substitutes before committing to the WLCSP layout: Holyiot 18010 module (7 × 9 mm, same die) or a Seeed XIAO nRF52840 dev board, to bench-test the radio/firmware stack first.</w:t>
      </w:r>
    </w:p>
    <w:p>
      <w:pPr>
        <w:pStyle w:val="Heading2"/>
      </w:pPr>
      <w:r>
        <w:t xml:space="preserve">3.2 Gaze Sensing — OPEN ITEM</w:t>
      </w:r>
    </w:p>
    <w:p>
      <w:pPr>
        <w:spacing w:after="160"/>
      </w:pPr>
      <w:r>
        <w:t xml:space="preserve">Exact sensor not yet chosen. Hard requirement: the module must output X/Y gaze coordinates on-chip/in-module — raw video must never be transmitted wirelessly (bandwidth, battery, and privacy all argue against it). Candidates to evaluate: a miniature IR camera with on-board image processing, or a photodiode-array reflectance tracker.</w:t>
      </w:r>
    </w:p>
    <w:p>
      <w:pPr>
        <w:pStyle w:val="Heading2"/>
      </w:pPr>
      <w:r>
        <w:t xml:space="preserve">3.3 Antenna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Johanson Technology 2450AT18A100E ceramic chip antenna, 3.2 × 1.6 mm, omnidirectional pattern — keeps the link alive regardless of head angle.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clear the ground-plane directly beneath the antenna per the manufacturer’s datasheet — confirm in layout review.</w:t>
      </w:r>
    </w:p>
    <w:p>
      <w:pPr>
        <w:pStyle w:val="Heading2"/>
      </w:pPr>
      <w:r>
        <w:t xml:space="preserve">3.4 Power Budget</w:t>
      </w:r>
    </w:p>
    <w:p>
      <w:pPr>
        <w:spacing w:after="160"/>
      </w:pPr>
      <w:r>
        <w:t xml:space="preserve">Target average current draw: ≈ 1.5 mA (low-power radio + low-power gaze sensing).</w:t>
      </w:r>
    </w:p>
    <w:p>
      <w:pPr>
        <w:spacing w:after="160"/>
      </w:pPr>
      <w:r>
        <w:t xml:space="preserve">1.5 mA × 48 h = 72 mAh required capacity.</w:t>
      </w:r>
    </w:p>
    <w:p>
      <w:pPr>
        <w:pBdr>
          <w:left w:val="single" w:color="2E75B6" w:sz="12" w:space="8"/>
        </w:pBdr>
        <w:spacing w:after="200" w:before="60"/>
        <w:ind w:left="120"/>
      </w:pPr>
      <w:r>
        <w:rPr>
          <w:i/>
          <w:iCs/>
          <w:color w:val="595959"/>
          <w:sz w:val="21"/>
          <w:szCs w:val="21"/>
        </w:rPr>
        <w:t xml:space="preserve">This is an estimate, not yet bench-validated. Confirm once the gaze sensor is selected — sensor draw may end up dominating the budget.</w:t>
      </w:r>
    </w:p>
    <w:p>
      <w:pPr>
        <w:pStyle w:val="Heading2"/>
      </w:pPr>
      <w:r>
        <w:t xml:space="preserve">3.5 Battery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Lithium Titanate (LTO) micro pin/button cell, ≈72 mAh class.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Rationale: standard LiPo is limited to roughly 1C safe charging (≈ 1 hour for a full charge). Reaching a 10-minute charge needs about 6C, which risks degrading or overheating standard LiPo chemistry. LTO tolerates 6–20C charge rates safely and is rated for 10,000–20,000+ cycles.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Charge controller: Texas Instruments BQ25120A (2.5 × 2.5 mm), I²C-programmable current control, sized for microbatteries.</w:t>
      </w:r>
    </w:p>
    <w:p>
      <w:pPr>
        <w:pStyle w:val="Heading2"/>
      </w:pPr>
      <w:r>
        <w:t xml:space="preserve">3.6 Charging Interface</w:t>
      </w:r>
    </w:p>
    <w:p>
      <w:pPr>
        <w:spacing w:after="160"/>
      </w:pPr>
      <w:r>
        <w:t xml:space="preserve">No bulky USB port on the nose bridge. Use spring-loaded pogo-pin contacts built into the nose-pad structure, mating with a cradle in the storage case when the glasses are folded and stored.</w:t>
      </w:r>
    </w:p>
    <w:p>
      <w:pPr>
        <w:pStyle w:val="Heading2"/>
      </w:pPr>
      <w:r>
        <w:t xml:space="preserve">3.7 PCB &amp; Assembly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WLCSP/QFN-class parts require a 4-layer PCB, 0402-class passives, and reflow assembly (hot-air or hot-plate) — not realistically hand-solderable at final size.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Bench-validate the radio/firmware/protocol stack on a breakout module (see 3.1) before committing to the final miniature layout.</w:t>
      </w:r>
    </w:p>
    <w:p>
      <w:pPr>
        <w:pStyle w:val="Heading1"/>
      </w:pPr>
      <w:r>
        <w:t xml:space="preserve">4. Mainboard Node — Detailed Spec</w:t>
      </w:r>
    </w:p>
    <w:p>
      <w:pPr>
        <w:pStyle w:val="Heading2"/>
      </w:pPr>
      <w:r>
        <w:t xml:space="preserve">4.1 Compute + Radio</w:t>
      </w:r>
    </w:p>
    <w:p>
      <w:pPr>
        <w:spacing w:after="160"/>
      </w:pPr>
      <w:r>
        <w:t xml:space="preserve">Must speak the same 2.4 GHz ESB/BLE protocol as the satellite. A Nordic nRF52840 (dev kit, dongle, or module) is the natural pairing partner since it shares the radio family with the satellite chip.</w:t>
      </w:r>
    </w:p>
    <w:p>
      <w:pPr>
        <w:pBdr>
          <w:left w:val="single" w:color="2E75B6" w:sz="12" w:space="8"/>
        </w:pBdr>
        <w:spacing w:after="200" w:before="60"/>
        <w:ind w:left="120"/>
      </w:pPr>
      <w:r>
        <w:rPr>
          <w:i/>
          <w:iCs/>
          <w:color w:val="595959"/>
          <w:sz w:val="21"/>
          <w:szCs w:val="21"/>
        </w:rPr>
        <w:t xml:space="preserve">Earlier scoping discussed an ESP32-S3 + Semtech SX1262 LoRa pairing — that combination targets kilometre-scale outdoor links and is NOT compatible with the nRF52 ESB protocol. Lock in BLE/ESB end-to-end before further layout work; mixing a LoRa radio on one node with a BLE radio on the other won’t talk without a protocol bridge.</w:t>
      </w:r>
    </w:p>
    <w:p>
      <w:pPr>
        <w:pStyle w:val="Heading2"/>
      </w:pPr>
      <w:r>
        <w:t xml:space="preserve">4.2 Antenna</w:t>
      </w:r>
    </w:p>
    <w:p>
      <w:pPr>
        <w:spacing w:after="160"/>
      </w:pPr>
      <w:r>
        <w:t xml:space="preserve">SMA or U.FL connector with a flexible 2.4 GHz “rubber duck” or patch antenna — not a flat chip antenna. The larger antenna improves margin when the satellite signal is weak, and helps when the mainboard is laid flat on a surface.</w:t>
      </w:r>
    </w:p>
    <w:p>
      <w:pPr>
        <w:pStyle w:val="Heading2"/>
      </w:pPr>
      <w:r>
        <w:t xml:space="preserve">4.3 Power</w:t>
      </w:r>
    </w:p>
    <w:p>
      <w:pPr>
        <w:spacing w:after="160"/>
      </w:pPr>
      <w:r>
        <w:t xml:space="preserve">Standard LiPo, ≈1000 mAh class — size and weight are not constrained on this node.</w:t>
      </w:r>
    </w:p>
    <w:p>
      <w:pPr>
        <w:pStyle w:val="Heading2"/>
      </w:pPr>
      <w:r>
        <w:t xml:space="preserve">4.4 Firmware Role</w:t>
      </w:r>
    </w:p>
    <w:p>
      <w:pPr>
        <w:spacing w:after="160"/>
      </w:pPr>
      <w:r>
        <w:t xml:space="preserve">Receive and decrypt gaze packets, log/process data, and run the RSSI feedback loop: measure RSSI per received packet, return it in the acknowledgement, and let the satellite tune its own transmit power accordingly.</w:t>
      </w:r>
    </w:p>
    <w:p>
      <w:pPr>
        <w:pStyle w:val="Heading1"/>
      </w:pPr>
      <w:r>
        <w:t xml:space="preserve">5. Wireless Link Layer</w:t>
      </w:r>
    </w:p>
    <w:p>
      <w:pPr>
        <w:pStyle w:val="Heading2"/>
      </w:pPr>
      <w:r>
        <w:t xml:space="preserve">5.1 Indoor Range Expectations (estimates, not yet measured)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Obstacle type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Signal impact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Estimated max distance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Open-plan / same room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None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30+ 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Drywall / stud walls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20–25 m (3–4 rooms)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Brick / concrete walls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10–15 m (1–2 dense walls)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Concrete floors / ceilings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1–2 floors maximum</w:t>
            </w:r>
          </w:p>
        </w:tc>
      </w:tr>
    </w:tbl>
    <w:p>
      <w:pPr>
        <w:pStyle w:val="Heading2"/>
      </w:pPr>
      <w:r>
        <w:t xml:space="preserve">5.2 Dynamic TX Power Loop</w:t>
      </w:r>
    </w:p>
    <w:p>
      <w:pPr>
        <w:spacing w:after="160"/>
      </w:pPr>
      <w:r>
        <w:t xml:space="preserve">Satellite sends a gaze packet → Mainboard measures RSSI → Mainboard returns an acknowledgement containing that RSSI → Satellite tunes its next transmit power: strong signal (mainboard nearby, e.g. in a pocket) drops power to roughly –20 dBm to save battery; weak signal (mainboard left across the house) ramps power up to +4/+8 dBm for range.</w:t>
      </w:r>
    </w:p>
    <w:p>
      <w:pPr>
        <w:pStyle w:val="Heading2"/>
      </w:pPr>
      <w:r>
        <w:t xml:space="preserve">5.3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AES-128 hardware-accelerated encryption on the nRF52 radio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not hardcode the encryption key in firmware source. Generate session keys using the chip’s on-board TRNG, or add a dedicated secure-element IC (e.g. ATECC608A) on both boards for key storage/exchange if a higher security bar is needed later.</w:t>
      </w:r>
    </w:p>
    <w:p>
      <w:pPr>
        <w:pStyle w:val="Heading1"/>
      </w:pPr>
      <w:r>
        <w:t xml:space="preserve">6. Charging Case (Accessory)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Qi wireless receiver coil — ambient top-up whenever the case is set on any Qi charging pad or desk dock.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reservoir LiPo, ≈1000 mAh — buffers energy so the case doesn’t need to be plugged in for the satellite’s fast charge.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Spring-loaded pogo-pin dock aligns with the nose-pad contacts when the glasses fold into the case; a step-up/down converter dumps high current into the LTO cell once contact is verified, completing the ≤10-minute charge.</w:t>
      </w:r>
    </w:p>
    <w:p>
      <w:pPr>
        <w:pStyle w:val="Heading1"/>
      </w:pPr>
      <w:r>
        <w:t xml:space="preserve">7. Bill of Materials (working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2200"/>
        <w:gridCol w:w="20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Package / form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Nordic nRF52832 / nRF52811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Satellite MCU + radio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WLCSP ≈2.5×2.5 mm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Final form factor; needs reflow assembly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Holyiot 18010 module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Bench prototype of above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7×9 mm module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For early firmware bring-up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Seeed XIAO nRF52840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Bench prototype, mainboard radio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21×17.8 mm dev board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≈£7–£10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Johanson 2450AT18A100E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Satellite antenna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3.2×1.6 mm ceramic chip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 ground-plane clearance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TI BQ25120A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Satellite charge mgmt IC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2.5×2.5 mm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I²C programmable, microbattery-rated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LTO micro pin/button cell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Satellite battery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≈72 mAh class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Source/vendor TBD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Qi receiver coil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Case ambient charging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TBD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Spec to be finalized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Reservoir LiPo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Case buffer battery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≈1000 mAh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nRF52840 dongle / module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Mainboard MCU + radio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Dev kit or module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SMA/U.FL + patch antenna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Mainboard antenna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Flexible external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ATECC608A (optional)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Secure key storage, both boards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Small SMD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Add only if higher security bar required</w:t>
            </w:r>
          </w:p>
        </w:tc>
      </w:tr>
    </w:tbl>
    <w:p>
      <w:pPr>
        <w:pStyle w:val="Heading1"/>
      </w:pPr>
      <w:r>
        <w:t xml:space="preserve">8. Open Engineering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Gaze sensor: IR camera vs. photodiode array vs. dedicated eye-tracking IC — this choice significantly affects the power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protocol end-to-end as BLE/ESB only; retire the earlier LoRa option, which was scoped for a kilometre-range use case, not this in-house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LTO cell part/vendor and confirmed operating voltage, to finalize the BQ25120A charge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EDA tool for layout (KiCad / Altium / EasyEDA) — affects which footprint libraries to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Real-world RF testing: the range table in Section 5.1 is an estimate; validate with bench prototypes through the actual target home’s wall types before locking antenna and power settings.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Mainboard housing/form factor — not yet defined.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Mechanical attachment of the satellite to the nose bridge (clip-on vs. adhesive vs. integrated nose pad) — not yet defined.</w:t>
      </w:r>
    </w:p>
    <w:p>
      <w:pPr>
        <w:pStyle w:val="Heading1"/>
      </w:pPr>
      <w:r>
        <w:t xml:space="preserve">9.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Bench-validate the radio link and RSSI loop using XIAO dev boards before laying out either custom PCB.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and characterize the gaze sensor; re-run the power budget once real current draw is known.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and bench-test an LTO cell with the BQ25120A charge profile to confirm the 10-minute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Lock the antenna footprint and ground-plane clearance against the antenna vendor’s reference layout.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95959"/>
        <w:sz w:val="16"/>
        <w:szCs w:val="16"/>
      </w:rPr>
      <w:t xml:space="preserve">ReArm Snap’n’Track — Engineering Spec (Working Draft, Internal)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2026-06-19T13:09:13.542Z</dcterms:created>
  <dcterms:modified xsi:type="dcterms:W3CDTF">2026-06-19T13:09:13.554Z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