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AA2F2" w14:textId="77777777" w:rsidR="00092BE1" w:rsidRDefault="00582EEF">
      <w:pPr>
        <w:pStyle w:val="Heading1"/>
      </w:pPr>
      <w:r>
        <w:t>Licensing Proposal – Field-Based API Gravity Verification Method</w:t>
      </w:r>
    </w:p>
    <w:p w14:paraId="3F39DFA0" w14:textId="77777777" w:rsidR="00092BE1" w:rsidRDefault="00582EEF">
      <w:r>
        <w:t>To: [Insert Company Name]</w:t>
      </w:r>
    </w:p>
    <w:p w14:paraId="2A44E26E" w14:textId="77777777" w:rsidR="00092BE1" w:rsidRDefault="00582EEF">
      <w:r>
        <w:t>From: Sherif Hikal</w:t>
      </w:r>
    </w:p>
    <w:p w14:paraId="2FAF5F9E" w14:textId="77777777" w:rsidR="00092BE1" w:rsidRDefault="00582EEF">
      <w:r>
        <w:t>Date: [Insert Date]</w:t>
      </w:r>
    </w:p>
    <w:p w14:paraId="75F3F913" w14:textId="77777777" w:rsidR="00092BE1" w:rsidRDefault="00582EEF">
      <w:pPr>
        <w:pStyle w:val="IntenseQuote"/>
      </w:pPr>
      <w:r>
        <w:t>Subject: Licensing Opportunity for Patent-Pending “Field-Based Method for Real-Time API Gravity Verification and Operational Decision-Making in Petroleum Transfers”</w:t>
      </w:r>
    </w:p>
    <w:p w14:paraId="2BA75573" w14:textId="77777777" w:rsidR="00092BE1" w:rsidRDefault="00582EEF">
      <w:r>
        <w:br/>
        <w:t>Dear [Decision Maker or Department Name],</w:t>
      </w:r>
      <w:r>
        <w:br/>
      </w:r>
      <w:r>
        <w:br/>
        <w:t>I am pleased to formally offer a licensing opportunity for my patent-pending operational process titled:</w:t>
      </w:r>
      <w:r>
        <w:br/>
        <w:t>"Field-Based Method for Real-Time API Gravity Verification and Operational Decision-Making in Petroleum Transfers"</w:t>
      </w:r>
      <w:r>
        <w:br/>
        <w:t>(Provisional Application filed August 7, 2025)</w:t>
      </w:r>
      <w:r>
        <w:br/>
      </w:r>
      <w:r>
        <w:br/>
        <w:t>This innovative method significantly reduces operational delays caused by lab dependency during petroleum transfers by enabling immediate field-based decisions using portable hydrometer tools. With an average savings potential of $6,000 per h</w:t>
      </w:r>
      <w:r>
        <w:t>our in downtime avoidance, the system provides immediate ROI in high-volume terminal environments.</w:t>
      </w:r>
      <w:r>
        <w:br/>
      </w:r>
    </w:p>
    <w:p w14:paraId="4D85E6E2" w14:textId="77777777" w:rsidR="00092BE1" w:rsidRDefault="00582EEF">
      <w:pPr>
        <w:pStyle w:val="Heading2"/>
      </w:pPr>
      <w:r>
        <w:t>Summary of the Invention</w:t>
      </w:r>
    </w:p>
    <w:p w14:paraId="24F7383B" w14:textId="77777777" w:rsidR="00092BE1" w:rsidRDefault="00582EEF">
      <w:r>
        <w:br/>
        <w:t>- Enables field inspectors to perform API gravity verification using hydrometers (digital or glass) at multiple tank levels.</w:t>
      </w:r>
      <w:r>
        <w:br/>
        <w:t>- Defines a go/no-go decision framework using a ≤ 0.3°API variance threshold.</w:t>
      </w:r>
      <w:r>
        <w:br/>
        <w:t>- Allows real-time blending, sampling, or transfer approvals without waiting for lab validation.</w:t>
      </w:r>
      <w:r>
        <w:br/>
      </w:r>
    </w:p>
    <w:p w14:paraId="3B34F7E4" w14:textId="77777777" w:rsidR="00092BE1" w:rsidRDefault="00582EEF">
      <w:pPr>
        <w:pStyle w:val="Heading2"/>
      </w:pPr>
      <w:r>
        <w:t>Operational &amp; Financial Benefits</w:t>
      </w:r>
    </w:p>
    <w:p w14:paraId="7A16B21A" w14:textId="77777777" w:rsidR="00092BE1" w:rsidRDefault="00582EEF">
      <w:r>
        <w:br/>
        <w:t>- 2–4 hours saved per batch by bypassing lab queues</w:t>
      </w:r>
      <w:r>
        <w:br/>
        <w:t>- Up to $15 million annual savings at high-throughput terminals</w:t>
      </w:r>
      <w:r>
        <w:br/>
        <w:t>- Reduces idle inspector time and streamlines dispatch coordination</w:t>
      </w:r>
      <w:r>
        <w:br/>
        <w:t>- Enables standardization across terminals and third-party inspectors</w:t>
      </w:r>
      <w:r>
        <w:br/>
      </w:r>
    </w:p>
    <w:p w14:paraId="53BB8C33" w14:textId="77777777" w:rsidR="00092BE1" w:rsidRDefault="00582EEF">
      <w:pPr>
        <w:pStyle w:val="Heading2"/>
      </w:pPr>
      <w:r>
        <w:lastRenderedPageBreak/>
        <w:t>Licensing Structure Proposal</w:t>
      </w:r>
    </w:p>
    <w:p w14:paraId="5CFE6B00" w14:textId="77777777" w:rsidR="00092BE1" w:rsidRDefault="00582EEF">
      <w:r>
        <w:br/>
        <w:t>- License Term: 1-Year, Non-Exclusive</w:t>
      </w:r>
      <w:r>
        <w:br/>
        <w:t>- Base Annual Fee: $250,000</w:t>
      </w:r>
      <w:r>
        <w:br/>
        <w:t>- Royalty: 5% of annual operational savings or profit derived from implementation (to be reported annually)</w:t>
      </w:r>
      <w:r>
        <w:br/>
        <w:t>- Scope: License covers usage across designated terminal(s), with audit/reporting clause</w:t>
      </w:r>
      <w:r>
        <w:br/>
        <w:t>- Optional Add-On: Early access to future enhancements including predictive blending AI tools and mobile app integration</w:t>
      </w:r>
      <w:r>
        <w:br/>
      </w:r>
    </w:p>
    <w:p w14:paraId="275BBD1D" w14:textId="77777777" w:rsidR="00092BE1" w:rsidRDefault="00582EEF">
      <w:pPr>
        <w:pStyle w:val="Heading2"/>
      </w:pPr>
      <w:r>
        <w:t>Patent Status</w:t>
      </w:r>
    </w:p>
    <w:p w14:paraId="0572BA69" w14:textId="77777777" w:rsidR="00092BE1" w:rsidRDefault="00582EEF">
      <w:r>
        <w:br/>
        <w:t>- Filed as a Provisional Patent with the United States Patent and Trademark Office (USPTO) on August 7, 2025</w:t>
      </w:r>
      <w:r>
        <w:br/>
        <w:t>- Full Non-Provisional Patent pending (anticipated submission: Q4 2025)</w:t>
      </w:r>
      <w:r>
        <w:br/>
        <w:t>- Licensing includes protection under published application and priority date rights</w:t>
      </w:r>
      <w:r>
        <w:br/>
      </w:r>
    </w:p>
    <w:p w14:paraId="1D65FC74" w14:textId="77777777" w:rsidR="00092BE1" w:rsidRDefault="00582EEF">
      <w:r>
        <w:br/>
        <w:t>I would be happy to discuss this licensing opportunity in more detail and tailor the structure to fit your organization’s operational model. Please let me know a convenient time to connect.</w:t>
      </w:r>
      <w:r>
        <w:br/>
      </w:r>
      <w:r>
        <w:br/>
        <w:t>Sincerely,</w:t>
      </w:r>
      <w:r>
        <w:br/>
        <w:t>Sherif Hikal</w:t>
      </w:r>
      <w:r>
        <w:br/>
        <w:t>Email: [Insert Email]</w:t>
      </w:r>
      <w:r>
        <w:br/>
        <w:t>Phone: [Insert Number]</w:t>
      </w:r>
      <w:r>
        <w:br/>
        <w:t>Patent Summary Attached</w:t>
      </w:r>
      <w:r>
        <w:br/>
      </w:r>
    </w:p>
    <w:sectPr w:rsidR="00092B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libri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2929936">
    <w:abstractNumId w:val="8"/>
  </w:num>
  <w:num w:numId="2" w16cid:durableId="124587559">
    <w:abstractNumId w:val="6"/>
  </w:num>
  <w:num w:numId="3" w16cid:durableId="1994870559">
    <w:abstractNumId w:val="5"/>
  </w:num>
  <w:num w:numId="4" w16cid:durableId="91358218">
    <w:abstractNumId w:val="4"/>
  </w:num>
  <w:num w:numId="5" w16cid:durableId="407851533">
    <w:abstractNumId w:val="7"/>
  </w:num>
  <w:num w:numId="6" w16cid:durableId="785202423">
    <w:abstractNumId w:val="3"/>
  </w:num>
  <w:num w:numId="7" w16cid:durableId="1989892020">
    <w:abstractNumId w:val="2"/>
  </w:num>
  <w:num w:numId="8" w16cid:durableId="231433774">
    <w:abstractNumId w:val="1"/>
  </w:num>
  <w:num w:numId="9" w16cid:durableId="335613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proofState w:spelling="clean" w:grammar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2BE1"/>
    <w:rsid w:val="0015074B"/>
    <w:rsid w:val="00236EDB"/>
    <w:rsid w:val="00256E3D"/>
    <w:rsid w:val="0029639D"/>
    <w:rsid w:val="00326F90"/>
    <w:rsid w:val="00582EE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488E0C"/>
  <w14:defaultImageDpi w14:val="300"/>
  <w15:docId w15:val="{71666084-CFB8-EA41-922A-9977CD06D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380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SHERIF HIKAL</cp:lastModifiedBy>
  <cp:revision>2</cp:revision>
  <dcterms:created xsi:type="dcterms:W3CDTF">2025-10-05T23:31:00Z</dcterms:created>
  <dcterms:modified xsi:type="dcterms:W3CDTF">2025-10-05T23:31:00Z</dcterms:modified>
  <cp:category/>
</cp:coreProperties>
</file>