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3D86" w14:textId="4187B8B6" w:rsidR="00D8714B" w:rsidRDefault="00AF061B">
      <w:r>
        <w:tab/>
        <w:t>Shot detection first seemed extremely hard to implement. However, we brainstormed ideas and found that we could use different strategies learned throughout CSC420 to find when each shot was detected as a shot.</w:t>
      </w:r>
      <w:bookmarkStart w:id="0" w:name="_GoBack"/>
      <w:bookmarkEnd w:id="0"/>
    </w:p>
    <w:sectPr w:rsidR="00D8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1B"/>
    <w:rsid w:val="00AF061B"/>
    <w:rsid w:val="00D8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81A3"/>
  <w15:chartTrackingRefBased/>
  <w15:docId w15:val="{93E838A9-26BA-43C1-9528-0192EA4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Hariharan</dc:creator>
  <cp:keywords/>
  <dc:description/>
  <cp:lastModifiedBy>Akshay Hariharan</cp:lastModifiedBy>
  <cp:revision>1</cp:revision>
  <dcterms:created xsi:type="dcterms:W3CDTF">2019-04-12T22:13:00Z</dcterms:created>
  <dcterms:modified xsi:type="dcterms:W3CDTF">2019-04-12T22:17:00Z</dcterms:modified>
</cp:coreProperties>
</file>