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FBB1" w14:textId="4C53D94C" w:rsidR="008D3C63" w:rsidRPr="005E6A1A" w:rsidRDefault="008D3C63" w:rsidP="003B1F08">
      <w:pPr>
        <w:rPr>
          <w:rFonts w:ascii="標楷體" w:eastAsia="標楷體" w:hAnsi="標楷體"/>
          <w:sz w:val="32"/>
          <w:szCs w:val="32"/>
        </w:rPr>
      </w:pPr>
      <w:r w:rsidRPr="0062115D">
        <w:rPr>
          <w:rFonts w:ascii="標楷體" w:eastAsia="標楷體" w:hAnsi="標楷體" w:hint="eastAsia"/>
          <w:sz w:val="52"/>
          <w:szCs w:val="52"/>
        </w:rPr>
        <w:t>余光中《鄉愁</w:t>
      </w:r>
      <w:r w:rsidR="002F54A7">
        <w:rPr>
          <w:rFonts w:ascii="標楷體" w:eastAsia="標楷體" w:hAnsi="標楷體" w:hint="eastAsia"/>
          <w:sz w:val="52"/>
          <w:szCs w:val="52"/>
        </w:rPr>
        <w:t>四韻</w:t>
      </w:r>
      <w:r w:rsidRPr="0062115D">
        <w:rPr>
          <w:rFonts w:ascii="標楷體" w:eastAsia="標楷體" w:hAnsi="標楷體" w:hint="eastAsia"/>
          <w:sz w:val="52"/>
          <w:szCs w:val="52"/>
        </w:rPr>
        <w:t>》</w:t>
      </w:r>
      <w:r w:rsidR="0062115D" w:rsidRPr="0062115D">
        <w:rPr>
          <w:rFonts w:ascii="標楷體" w:eastAsia="標楷體" w:hAnsi="標楷體" w:hint="eastAsia"/>
          <w:sz w:val="52"/>
          <w:szCs w:val="52"/>
        </w:rPr>
        <w:t xml:space="preserve"> </w:t>
      </w:r>
      <w:r w:rsidR="0062115D">
        <w:rPr>
          <w:rFonts w:ascii="標楷體" w:eastAsia="標楷體" w:hAnsi="標楷體" w:hint="eastAsia"/>
          <w:sz w:val="40"/>
          <w:szCs w:val="40"/>
        </w:rPr>
        <w:t xml:space="preserve">       </w:t>
      </w:r>
      <w:r w:rsidR="0062115D" w:rsidRPr="005E6A1A">
        <w:rPr>
          <w:rFonts w:ascii="標楷體" w:eastAsia="標楷體" w:hAnsi="標楷體" w:hint="eastAsia"/>
          <w:sz w:val="32"/>
          <w:szCs w:val="32"/>
        </w:rPr>
        <w:t>姓名：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4451"/>
        <w:gridCol w:w="636"/>
        <w:gridCol w:w="4481"/>
      </w:tblGrid>
      <w:tr w:rsidR="003E1837" w14:paraId="6DF82301" w14:textId="77777777" w:rsidTr="00502BB0">
        <w:tc>
          <w:tcPr>
            <w:tcW w:w="636" w:type="dxa"/>
          </w:tcPr>
          <w:p w14:paraId="1E1463AD" w14:textId="7BC5C88E" w:rsidR="003E1837" w:rsidRPr="00F726E0" w:rsidRDefault="003E1837" w:rsidP="00BA6924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(</w:t>
            </w:r>
            <w:r w:rsidRPr="00F726E0"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  <w:t>1)</w:t>
            </w:r>
          </w:p>
        </w:tc>
        <w:tc>
          <w:tcPr>
            <w:tcW w:w="4498" w:type="dxa"/>
          </w:tcPr>
          <w:p w14:paraId="77E614FE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給我一瓢長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江水啊長江水</w:t>
            </w:r>
            <w:proofErr w:type="gramEnd"/>
          </w:p>
          <w:p w14:paraId="50C03D2C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酒一樣的長江水</w:t>
            </w:r>
          </w:p>
          <w:p w14:paraId="79F7A636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醉酒的滋味</w:t>
            </w:r>
          </w:p>
          <w:p w14:paraId="2CB04EAB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是鄉愁的滋味</w:t>
            </w:r>
          </w:p>
          <w:p w14:paraId="0F40A723" w14:textId="02C6C314" w:rsidR="003E1837" w:rsidRPr="00F726E0" w:rsidRDefault="003E1837" w:rsidP="008A1906">
            <w:pPr>
              <w:widowControl/>
              <w:spacing w:afterLines="50" w:after="180"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給我一瓢長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江水啊長江水</w:t>
            </w:r>
            <w:proofErr w:type="gramEnd"/>
          </w:p>
        </w:tc>
        <w:tc>
          <w:tcPr>
            <w:tcW w:w="531" w:type="dxa"/>
          </w:tcPr>
          <w:p w14:paraId="3E58A189" w14:textId="477ABED9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(</w:t>
            </w:r>
            <w:r w:rsidRPr="00F726E0"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  <w:t>2)</w:t>
            </w:r>
          </w:p>
        </w:tc>
        <w:tc>
          <w:tcPr>
            <w:tcW w:w="4529" w:type="dxa"/>
          </w:tcPr>
          <w:p w14:paraId="6A5DF196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給我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一張海棠紅啊海棠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紅</w:t>
            </w:r>
          </w:p>
          <w:p w14:paraId="3109E4A1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血一樣的海棠紅</w:t>
            </w:r>
          </w:p>
          <w:p w14:paraId="6394C5DC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沸血的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燒痛</w:t>
            </w:r>
          </w:p>
          <w:p w14:paraId="5D776CCD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是鄉愁的燒痛</w:t>
            </w:r>
          </w:p>
          <w:p w14:paraId="6939EAF8" w14:textId="13D37C55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給我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一張海棠紅啊海棠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紅</w:t>
            </w:r>
          </w:p>
        </w:tc>
      </w:tr>
      <w:tr w:rsidR="003E1837" w14:paraId="495CFF5F" w14:textId="77777777" w:rsidTr="00F726E0">
        <w:tc>
          <w:tcPr>
            <w:tcW w:w="636" w:type="dxa"/>
          </w:tcPr>
          <w:p w14:paraId="6363C151" w14:textId="4E7605F4" w:rsidR="003E1837" w:rsidRPr="00F726E0" w:rsidRDefault="003E1837" w:rsidP="00F726E0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(</w:t>
            </w:r>
            <w:r w:rsidRPr="00F726E0"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  <w:t>3)</w:t>
            </w:r>
          </w:p>
        </w:tc>
        <w:tc>
          <w:tcPr>
            <w:tcW w:w="4498" w:type="dxa"/>
          </w:tcPr>
          <w:p w14:paraId="4EA79D98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給我一片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雪花白啊雪花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白</w:t>
            </w:r>
          </w:p>
          <w:p w14:paraId="0F55AA10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信一樣的雪花白</w:t>
            </w:r>
          </w:p>
          <w:p w14:paraId="6469D31F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家信的等待</w:t>
            </w:r>
          </w:p>
          <w:p w14:paraId="4AD525A7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是鄉愁的等待</w:t>
            </w:r>
          </w:p>
          <w:p w14:paraId="04FC2642" w14:textId="6E1245E4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給我一片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雪花白啊雪花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白</w:t>
            </w:r>
          </w:p>
        </w:tc>
        <w:tc>
          <w:tcPr>
            <w:tcW w:w="531" w:type="dxa"/>
          </w:tcPr>
          <w:p w14:paraId="58545FAF" w14:textId="5F582C8E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(</w:t>
            </w:r>
            <w:r w:rsidRPr="00F726E0"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  <w:t>4)</w:t>
            </w:r>
          </w:p>
        </w:tc>
        <w:tc>
          <w:tcPr>
            <w:tcW w:w="4529" w:type="dxa"/>
          </w:tcPr>
          <w:p w14:paraId="28F081AB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給我一朵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蠟梅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香啊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蠟梅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香</w:t>
            </w:r>
          </w:p>
          <w:p w14:paraId="2DAB4D72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母親一樣的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蠟梅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香</w:t>
            </w:r>
          </w:p>
          <w:p w14:paraId="1FC6DD77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母親的芬芳</w:t>
            </w:r>
          </w:p>
          <w:p w14:paraId="2B2AE9E9" w14:textId="77777777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是鄉土的芬芳</w:t>
            </w:r>
          </w:p>
          <w:p w14:paraId="37E78EC5" w14:textId="79286FAB" w:rsidR="003E1837" w:rsidRPr="00F726E0" w:rsidRDefault="003E1837" w:rsidP="008A1906">
            <w:pPr>
              <w:widowControl/>
              <w:spacing w:line="44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給我一朵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蠟梅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香啊</w:t>
            </w:r>
            <w:proofErr w:type="gramStart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蠟梅</w:t>
            </w:r>
            <w:proofErr w:type="gramEnd"/>
            <w:r w:rsidRPr="00F726E0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香</w:t>
            </w:r>
          </w:p>
        </w:tc>
      </w:tr>
    </w:tbl>
    <w:p w14:paraId="4E7E39BC" w14:textId="77777777" w:rsidR="00E54A10" w:rsidRPr="00E54A10" w:rsidRDefault="00E54A10" w:rsidP="00201FED">
      <w:pPr>
        <w:widowControl/>
        <w:spacing w:beforeLines="50" w:before="180" w:line="440" w:lineRule="exact"/>
        <w:ind w:left="-6" w:hanging="11"/>
        <w:rPr>
          <w:rFonts w:ascii="標楷體" w:eastAsia="標楷體" w:hAnsi="標楷體" w:cs="標楷體"/>
          <w:color w:val="000000"/>
          <w:sz w:val="32"/>
          <w:szCs w:val="32"/>
        </w:rPr>
      </w:pPr>
      <w:r w:rsidRPr="00E54A10">
        <w:rPr>
          <w:rFonts w:ascii="標楷體" w:eastAsia="標楷體" w:hAnsi="標楷體" w:cs="標楷體" w:hint="eastAsia"/>
          <w:color w:val="000000"/>
          <w:sz w:val="32"/>
          <w:szCs w:val="32"/>
          <w:bdr w:val="single" w:sz="4" w:space="0" w:color="auto"/>
        </w:rPr>
        <w:t xml:space="preserve">賞析 </w:t>
      </w:r>
    </w:p>
    <w:p w14:paraId="4636DE21" w14:textId="681B9B29" w:rsidR="00055828" w:rsidRPr="00055828" w:rsidRDefault="00E54A10" w:rsidP="00576C96">
      <w:pPr>
        <w:widowControl/>
        <w:spacing w:line="44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 w:rsidRPr="00E54A10"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余光中</w:t>
      </w:r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的《鄉愁四韻》是一首將抽象情感具</w:t>
      </w:r>
      <w:proofErr w:type="gramStart"/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象</w:t>
      </w:r>
      <w:proofErr w:type="gramEnd"/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化的經典詩作。</w:t>
      </w:r>
      <w:proofErr w:type="gramStart"/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全詩共</w:t>
      </w:r>
      <w:proofErr w:type="gramEnd"/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分四節，結構極為嚴謹，採用了重疊、反覆的</w:t>
      </w:r>
      <w:r w:rsidR="00055828" w:rsidRPr="00055828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詠</w:t>
      </w:r>
      <w:proofErr w:type="gramStart"/>
      <w:r w:rsidR="00055828" w:rsidRPr="00055828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歎</w:t>
      </w:r>
      <w:proofErr w:type="gramEnd"/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句調。詩人巧妙地抓住了四個最具</w:t>
      </w:r>
      <w:r w:rsidR="00055828" w:rsidRPr="008E414E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中國</w:t>
      </w:r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傳統文化色彩與地理象徵的意象</w:t>
      </w:r>
      <w:r w:rsidR="00055828">
        <w:rPr>
          <w:rFonts w:ascii="標楷體" w:eastAsia="標楷體" w:hAnsi="標楷體" w:cs="標楷體" w:hint="eastAsia"/>
          <w:color w:val="000000"/>
          <w:sz w:val="28"/>
          <w:szCs w:val="28"/>
        </w:rPr>
        <w:t>--</w:t>
      </w:r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長江水、海棠紅、雪花白、</w:t>
      </w:r>
      <w:proofErr w:type="gramStart"/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蠟梅</w:t>
      </w:r>
      <w:proofErr w:type="gramEnd"/>
      <w:r w:rsidR="00055828"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香，由遠及近、由宏大到微觀，層層遞進地將思鄉之情推向極致。</w:t>
      </w:r>
    </w:p>
    <w:p w14:paraId="59DF4243" w14:textId="673C05E7" w:rsidR="00055828" w:rsidRPr="00055828" w:rsidRDefault="00055828" w:rsidP="00576C96">
      <w:pPr>
        <w:widowControl/>
        <w:spacing w:line="44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第一節以「長江水」開篇，</w:t>
      </w:r>
      <w:r w:rsidRPr="008E414E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長江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是</w:t>
      </w:r>
      <w:r w:rsidRPr="008E414E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中華民族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的母親河，象徵著</w:t>
      </w:r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源遠流長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的歷史與</w:t>
      </w:r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廣袤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的故土。詩人將</w:t>
      </w:r>
      <w:r w:rsidRPr="008E414E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長江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水比作「酒」，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酒能解憂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也能勾起愁緒，而「醉酒的滋味」正是那種揮之不去、讓人</w:t>
      </w:r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沉溺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且無法自拔的「鄉愁的滋味」。</w:t>
      </w:r>
    </w:p>
    <w:p w14:paraId="7EE486F8" w14:textId="22C5CAEA" w:rsidR="00055828" w:rsidRPr="00055828" w:rsidRDefault="00055828" w:rsidP="00576C96">
      <w:pPr>
        <w:widowControl/>
        <w:spacing w:line="44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第二節引入「海棠紅」。在傳統地理政治認知中，「海棠」常被用來隱喻</w:t>
      </w:r>
      <w:r w:rsidRPr="008E414E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中國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版圖的形狀。詩人將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海棠紅比作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「血」，這不僅僅是視覺上的強烈色彩，更是情感上的</w:t>
      </w:r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撕裂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與痛楚。「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沸血的燒痛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」寫出了鄉愁不再只是淡淡的憂傷，而是如同身體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受創般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、深刻且灼熱的肉體與靈魂之痛。</w:t>
      </w:r>
    </w:p>
    <w:p w14:paraId="3EBDE664" w14:textId="565627DE" w:rsidR="00055828" w:rsidRPr="00055828" w:rsidRDefault="00055828" w:rsidP="00576C96">
      <w:pPr>
        <w:widowControl/>
        <w:spacing w:line="44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第三節轉向「雪花白」。雪花的純白與冰冷，轉化為「信一樣的雪花白」。這裡的「家信」承襲了傳統詩詞中「烽火連三月，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家書抵萬金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」的寄託。在那個兩岸音訊隔絕的年代，對家信的期盼與等待，點出了鄉愁最煎熬的現實折磨</w:t>
      </w:r>
      <w:r w:rsidR="008E414E">
        <w:rPr>
          <w:rFonts w:ascii="標楷體" w:eastAsia="標楷體" w:hAnsi="標楷體" w:cs="標楷體" w:hint="eastAsia"/>
          <w:color w:val="000000"/>
          <w:sz w:val="28"/>
          <w:szCs w:val="28"/>
        </w:rPr>
        <w:t>--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時間的漫長與無奈。</w:t>
      </w:r>
    </w:p>
    <w:p w14:paraId="265731BC" w14:textId="2CB1F390" w:rsidR="00055828" w:rsidRPr="00055828" w:rsidRDefault="00055828" w:rsidP="00576C96">
      <w:pPr>
        <w:widowControl/>
        <w:spacing w:line="44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第四節最終落腳於微觀而溫暖的「</w:t>
      </w:r>
      <w:proofErr w:type="gramStart"/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蠟梅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香」。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蠟梅</w:t>
      </w:r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凌冬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耐寒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，而詩人將這股清香比作「母親一樣的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蠟梅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香」。母親是生命的源頭，也是家鄉最溫暖的化身。當鄉愁在最後昇華為「鄉土的芬芳」，讀者能感受到詩人將個人的身世之感，與對祖國母親、大地母親的依戀完美融合。</w:t>
      </w:r>
    </w:p>
    <w:p w14:paraId="62487805" w14:textId="3DCD0FC8" w:rsidR="00E54A10" w:rsidRDefault="00055828" w:rsidP="00576C96">
      <w:pPr>
        <w:widowControl/>
        <w:spacing w:line="440" w:lineRule="exact"/>
        <w:ind w:left="-6" w:hanging="11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從結構上看，四節詩採用了完全相同的句式結構，形成一種如民歌般</w:t>
      </w:r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迴環往復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的節奏感。每一次「給我…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…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」的呼喊，都是一次情感的</w:t>
      </w:r>
      <w:r w:rsidRPr="00857070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堆疊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。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全詩文字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看似</w:t>
      </w:r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質樸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，卻透過「水、紅、白、香」調動了讀者的視覺、嗅覺與情感共鳴。</w:t>
      </w:r>
      <w:r w:rsidRPr="008E414E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余光中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在此詩中，成功將個人的孤獨鄉愁，</w:t>
      </w:r>
      <w:r w:rsidRPr="008E414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熔鑄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成</w:t>
      </w:r>
      <w:proofErr w:type="gramStart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一</w:t>
      </w:r>
      <w:proofErr w:type="gramEnd"/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整個世代遊子共同的歷史文化</w:t>
      </w:r>
      <w:r w:rsidRPr="00857070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宿命</w:t>
      </w:r>
      <w:r w:rsidRPr="00055828">
        <w:rPr>
          <w:rFonts w:ascii="標楷體" w:eastAsia="標楷體" w:hAnsi="標楷體" w:cs="標楷體" w:hint="eastAsia"/>
          <w:color w:val="000000"/>
          <w:sz w:val="28"/>
          <w:szCs w:val="28"/>
        </w:rPr>
        <w:t>。</w:t>
      </w:r>
    </w:p>
    <w:p w14:paraId="11313F38" w14:textId="77777777" w:rsidR="00E54A10" w:rsidRPr="00E54A10" w:rsidRDefault="00E54A10" w:rsidP="00E54A10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80" w:line="440" w:lineRule="exact"/>
        <w:ind w:left="-6" w:hanging="11"/>
        <w:rPr>
          <w:rFonts w:ascii="標楷體" w:eastAsia="標楷體" w:hAnsi="標楷體" w:cs="標楷體"/>
          <w:color w:val="000000"/>
          <w:sz w:val="36"/>
          <w:szCs w:val="36"/>
        </w:rPr>
      </w:pPr>
      <w:r w:rsidRPr="00E54A10">
        <w:rPr>
          <w:rFonts w:ascii="標楷體" w:eastAsia="標楷體" w:hAnsi="標楷體" w:cs="標楷體" w:hint="eastAsia"/>
          <w:color w:val="000000"/>
          <w:sz w:val="36"/>
          <w:szCs w:val="36"/>
          <w:bdr w:val="single" w:sz="4" w:space="0" w:color="auto"/>
        </w:rPr>
        <w:lastRenderedPageBreak/>
        <w:t>補充</w:t>
      </w:r>
    </w:p>
    <w:p w14:paraId="5BA85874" w14:textId="67EEEACC" w:rsidR="0057288C" w:rsidRDefault="00055828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55828">
        <w:rPr>
          <w:rFonts w:ascii="標楷體" w:eastAsia="標楷體" w:hAnsi="標楷體" w:hint="eastAsia"/>
          <w:sz w:val="28"/>
          <w:szCs w:val="28"/>
        </w:rPr>
        <w:t>詠</w:t>
      </w:r>
      <w:proofErr w:type="gramStart"/>
      <w:r w:rsidRPr="00055828">
        <w:rPr>
          <w:rFonts w:ascii="標楷體" w:eastAsia="標楷體" w:hAnsi="標楷體" w:hint="eastAsia"/>
          <w:sz w:val="28"/>
          <w:szCs w:val="28"/>
        </w:rPr>
        <w:t>歎</w:t>
      </w:r>
      <w:proofErr w:type="gramEnd"/>
      <w:r w:rsidR="00BA6924" w:rsidRPr="00176F15"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吟詠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讚歎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，藉由詩歌或拉長聲調的歌唱來抒發情感。在文章中多指對生命、時光或某種情感的深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感悟與強烈抒發。它不僅僅是簡單的讚美，往往帶有一種拉長時空、情感濃烈且帶有起伏的內心獨白感。</w:t>
      </w:r>
    </w:p>
    <w:p w14:paraId="22A75514" w14:textId="2C02EEDD" w:rsidR="008E414E" w:rsidRDefault="008E414E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14E">
        <w:rPr>
          <w:rFonts w:ascii="標楷體" w:eastAsia="標楷體" w:hAnsi="標楷體" w:hint="eastAsia"/>
          <w:sz w:val="28"/>
          <w:szCs w:val="28"/>
        </w:rPr>
        <w:t>源遠流長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水源很遠，流得很長。比喻歷史悠久，根基深厚。常用來形容文化、傳統、情感或某種思想的傳承與延續。在文藝語境中，它強調一種「跨越時空而不斷絕」的生命力，給人一種沉靜、厚重且令人安心的歷史感。</w:t>
      </w:r>
    </w:p>
    <w:p w14:paraId="3D0770C3" w14:textId="114B2445" w:rsidR="008E414E" w:rsidRDefault="008E414E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14E">
        <w:rPr>
          <w:rFonts w:ascii="標楷體" w:eastAsia="標楷體" w:hAnsi="標楷體" w:hint="eastAsia"/>
          <w:sz w:val="28"/>
          <w:szCs w:val="28"/>
        </w:rPr>
        <w:t>廣袤</w:t>
      </w:r>
      <w:r w:rsidR="008A1906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8A1906" w:rsidRPr="008A1906">
        <w:rPr>
          <w:rFonts w:ascii="標楷體" w:eastAsia="標楷體" w:hAnsi="標楷體" w:hint="eastAsia"/>
          <w:color w:val="FF0000"/>
          <w:sz w:val="16"/>
          <w:szCs w:val="16"/>
        </w:rPr>
        <w:t>ㄇㄠˊ</w:t>
      </w:r>
      <w:proofErr w:type="gramEnd"/>
      <w:r w:rsidR="008A1906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土地的長和寬。東西為廣，南北為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袤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。形容土地幅員遼闊。多用來象徵心胸的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開闊、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宇宙空間的無限，或是孤獨感的巨大。在描寫自然景象時，它營造出一種人類顯得極其渺小，但世界無比包容的空間張力。</w:t>
      </w:r>
    </w:p>
    <w:p w14:paraId="31926CF2" w14:textId="61A6B6B4" w:rsidR="008E414E" w:rsidRDefault="008E414E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14E">
        <w:rPr>
          <w:rFonts w:ascii="標楷體" w:eastAsia="標楷體" w:hAnsi="標楷體" w:hint="eastAsia"/>
          <w:sz w:val="28"/>
          <w:szCs w:val="28"/>
        </w:rPr>
        <w:t>沉溺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沉沒在水中。引申為陷入某種境地或愛好中，無法自拔（多指負面的嗜好）。在文學作品中，有時也用於中性或感性的描寫，指完全浸淫在某種情緒（如悲傷、回憶、愛戀）中。它表現出主角抗拒現實、不願醒來，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耽溺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於自身精神世界的執著狀態。</w:t>
      </w:r>
    </w:p>
    <w:p w14:paraId="4998405A" w14:textId="0EBDF569" w:rsidR="008E414E" w:rsidRDefault="008E414E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14E">
        <w:rPr>
          <w:rFonts w:ascii="標楷體" w:eastAsia="標楷體" w:hAnsi="標楷體" w:hint="eastAsia"/>
          <w:sz w:val="28"/>
          <w:szCs w:val="28"/>
        </w:rPr>
        <w:t>撕裂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扯開、撕碎。常用於形容內心的極度痛苦、人際關係的破裂，或是時代與社會的動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盪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。它帶有強烈的動作感與痛覺，用來具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象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化抽象的心理掙扎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（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例如：在理智與情感之間的撕裂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。</w:t>
      </w:r>
    </w:p>
    <w:p w14:paraId="6D0EA133" w14:textId="25A53EAD" w:rsidR="008E414E" w:rsidRDefault="008E414E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蠟梅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植物名。落葉灌木，冬季開花，花瓣黃色，蠟質，有芳香。在文學中通常是高潔、堅韌、孤傲與耐寒的象徵。它代表在最艱難、最冷酷的環境（寒冬）中，依然能保有自我風骨，並且默默綻放希望的生命意象。</w:t>
      </w:r>
    </w:p>
    <w:p w14:paraId="6DFF267B" w14:textId="18DB113E" w:rsidR="008E414E" w:rsidRDefault="008E414E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8E414E">
        <w:rPr>
          <w:rFonts w:ascii="標楷體" w:eastAsia="標楷體" w:hAnsi="標楷體" w:hint="eastAsia"/>
          <w:sz w:val="28"/>
          <w:szCs w:val="28"/>
        </w:rPr>
        <w:t>凌冬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冒著嚴寒的冬季，或是度過寒冬。常被用來暗喻人生或大時代的低谷、困境與考驗。它不只描寫天氣的冷，更側重於主體（人或文化）面對這個考驗時，所展現出的對抗姿態或承受過程。</w:t>
      </w:r>
    </w:p>
    <w:p w14:paraId="61E3A666" w14:textId="21232E2D" w:rsidR="008E414E" w:rsidRDefault="008E414E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14E">
        <w:rPr>
          <w:rFonts w:ascii="標楷體" w:eastAsia="標楷體" w:hAnsi="標楷體" w:hint="eastAsia"/>
          <w:sz w:val="28"/>
          <w:szCs w:val="28"/>
        </w:rPr>
        <w:t>迴環往復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迴旋環繞，反覆前進。形容情感的糾結纏繞、思緒的揮之不去，或是文章結構、音樂旋律的跌宕起伏。它給人一種「走不出這個圈，卻又在其中不斷深化」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的疊加感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。</w:t>
      </w:r>
    </w:p>
    <w:p w14:paraId="54C109C3" w14:textId="7ABFC14D" w:rsidR="00857070" w:rsidRDefault="00857070" w:rsidP="00576C96">
      <w:pPr>
        <w:pStyle w:val="ab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57070">
        <w:rPr>
          <w:rFonts w:ascii="標楷體" w:eastAsia="標楷體" w:hAnsi="標楷體" w:hint="eastAsia"/>
          <w:sz w:val="28"/>
          <w:szCs w:val="28"/>
        </w:rPr>
        <w:t>堆疊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一層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一層地疊放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起來。指情感、記憶或意象的累積。在文章中，這是一個動態的過程，隨著情節推進，那些細微的情緒被不斷「堆疊」，最終促成了情感的爆發或主題的昇華。</w:t>
      </w:r>
    </w:p>
    <w:p w14:paraId="512CAEE0" w14:textId="2AADC35C" w:rsidR="008E414E" w:rsidRDefault="008E414E" w:rsidP="009E3200">
      <w:pPr>
        <w:pStyle w:val="ab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8E414E">
        <w:rPr>
          <w:rFonts w:ascii="標楷體" w:eastAsia="標楷體" w:hAnsi="標楷體" w:hint="eastAsia"/>
          <w:sz w:val="28"/>
          <w:szCs w:val="28"/>
        </w:rPr>
        <w:t>質樸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樸實、本色，沒有多餘的雕琢與修飾。常用來形容人性、文字風格或生活方式的真誠與純粹。</w:t>
      </w:r>
    </w:p>
    <w:p w14:paraId="32F3B962" w14:textId="19E1306E" w:rsidR="008E414E" w:rsidRDefault="00857070" w:rsidP="009E3200">
      <w:pPr>
        <w:pStyle w:val="ab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857070">
        <w:rPr>
          <w:rFonts w:ascii="標楷體" w:eastAsia="標楷體" w:hAnsi="標楷體" w:hint="eastAsia"/>
          <w:sz w:val="28"/>
          <w:szCs w:val="28"/>
        </w:rPr>
        <w:t>熔鑄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熔化金屬以鑄造器物。比喻將不同的元素（如經歷、文化、情感、思想）揉合、提煉並塑造成一個全新的堅固整體。例如：「將苦難熔鑄成生命的勳章」，強調經歷過</w:t>
      </w:r>
      <w:proofErr w:type="gramStart"/>
      <w:r w:rsidR="008A1906" w:rsidRPr="008A1906">
        <w:rPr>
          <w:rFonts w:ascii="標楷體" w:eastAsia="標楷體" w:hAnsi="標楷體" w:hint="eastAsia"/>
          <w:sz w:val="28"/>
          <w:szCs w:val="28"/>
        </w:rPr>
        <w:t>高溫煆燒後</w:t>
      </w:r>
      <w:proofErr w:type="gramEnd"/>
      <w:r w:rsidR="008A1906" w:rsidRPr="008A1906">
        <w:rPr>
          <w:rFonts w:ascii="標楷體" w:eastAsia="標楷體" w:hAnsi="標楷體" w:hint="eastAsia"/>
          <w:sz w:val="28"/>
          <w:szCs w:val="28"/>
        </w:rPr>
        <w:t>的蛻變與融合。</w:t>
      </w:r>
    </w:p>
    <w:p w14:paraId="1C72A261" w14:textId="19EE18CC" w:rsidR="00857070" w:rsidRPr="00055828" w:rsidRDefault="00857070" w:rsidP="009E3200">
      <w:pPr>
        <w:pStyle w:val="ab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r w:rsidRPr="00857070">
        <w:rPr>
          <w:rFonts w:ascii="標楷體" w:eastAsia="標楷體" w:hAnsi="標楷體" w:hint="eastAsia"/>
          <w:sz w:val="28"/>
          <w:szCs w:val="28"/>
        </w:rPr>
        <w:t>宿命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1906" w:rsidRPr="008A1906">
        <w:rPr>
          <w:rFonts w:ascii="標楷體" w:eastAsia="標楷體" w:hAnsi="標楷體" w:hint="eastAsia"/>
          <w:sz w:val="28"/>
          <w:szCs w:val="28"/>
        </w:rPr>
        <w:t>前世的命運。指注定的命運，非人力所能改變。在文章中常帶有一種無奈、悲壯或神秘的色彩。它描寫個體在巨大的時代洪流或命運軌道面前的無力感，但有時也用來展現「明知是宿命，卻依然選擇前行」的英雄主義。</w:t>
      </w:r>
    </w:p>
    <w:sectPr w:rsidR="00857070" w:rsidRPr="00055828" w:rsidSect="00F726E0">
      <w:footerReference w:type="default" r:id="rId8"/>
      <w:pgSz w:w="11906" w:h="16838" w:code="9"/>
      <w:pgMar w:top="567" w:right="851" w:bottom="567" w:left="851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C214E" w14:textId="77777777" w:rsidR="001712A4" w:rsidRDefault="001712A4" w:rsidP="00D64A18">
      <w:r>
        <w:separator/>
      </w:r>
    </w:p>
  </w:endnote>
  <w:endnote w:type="continuationSeparator" w:id="0">
    <w:p w14:paraId="3351DE62" w14:textId="77777777" w:rsidR="001712A4" w:rsidRDefault="001712A4" w:rsidP="00D6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9898261"/>
      <w:docPartObj>
        <w:docPartGallery w:val="Page Numbers (Bottom of Page)"/>
        <w:docPartUnique/>
      </w:docPartObj>
    </w:sdtPr>
    <w:sdtEndPr>
      <w:rPr>
        <w:rFonts w:ascii="標楷體" w:eastAsia="標楷體" w:hAnsi="標楷體"/>
      </w:rPr>
    </w:sdtEndPr>
    <w:sdtContent>
      <w:p w14:paraId="3EDDE830" w14:textId="184593DD" w:rsidR="00EF67AF" w:rsidRPr="00055828" w:rsidRDefault="00EF67AF">
        <w:pPr>
          <w:pStyle w:val="a9"/>
          <w:jc w:val="right"/>
          <w:rPr>
            <w:rFonts w:ascii="標楷體" w:eastAsia="標楷體" w:hAnsi="標楷體"/>
          </w:rPr>
        </w:pPr>
        <w:r w:rsidRPr="00055828">
          <w:rPr>
            <w:rFonts w:ascii="標楷體" w:eastAsia="標楷體" w:hAnsi="標楷體" w:hint="eastAsia"/>
          </w:rPr>
          <w:t>余光中《鄉愁</w:t>
        </w:r>
        <w:r w:rsidR="002F54A7" w:rsidRPr="00055828">
          <w:rPr>
            <w:rFonts w:ascii="標楷體" w:eastAsia="標楷體" w:hAnsi="標楷體" w:hint="eastAsia"/>
          </w:rPr>
          <w:t>四韻</w:t>
        </w:r>
        <w:r w:rsidRPr="00055828">
          <w:rPr>
            <w:rFonts w:ascii="標楷體" w:eastAsia="標楷體" w:hAnsi="標楷體" w:hint="eastAsia"/>
          </w:rPr>
          <w:t>》</w:t>
        </w:r>
        <w:r w:rsidRPr="00055828">
          <w:rPr>
            <w:rFonts w:ascii="標楷體" w:eastAsia="標楷體" w:hAnsi="標楷體"/>
          </w:rPr>
          <w:fldChar w:fldCharType="begin"/>
        </w:r>
        <w:r w:rsidRPr="00055828">
          <w:rPr>
            <w:rFonts w:ascii="標楷體" w:eastAsia="標楷體" w:hAnsi="標楷體"/>
          </w:rPr>
          <w:instrText>PAGE   \* MERGEFORMAT</w:instrText>
        </w:r>
        <w:r w:rsidRPr="00055828">
          <w:rPr>
            <w:rFonts w:ascii="標楷體" w:eastAsia="標楷體" w:hAnsi="標楷體"/>
          </w:rPr>
          <w:fldChar w:fldCharType="separate"/>
        </w:r>
        <w:r w:rsidRPr="00055828">
          <w:rPr>
            <w:rFonts w:ascii="標楷體" w:eastAsia="標楷體" w:hAnsi="標楷體"/>
            <w:lang w:val="zh-TW"/>
          </w:rPr>
          <w:t>2</w:t>
        </w:r>
        <w:r w:rsidRPr="00055828">
          <w:rPr>
            <w:rFonts w:ascii="標楷體" w:eastAsia="標楷體" w:hAnsi="標楷體"/>
          </w:rPr>
          <w:fldChar w:fldCharType="end"/>
        </w:r>
      </w:p>
    </w:sdtContent>
  </w:sdt>
  <w:p w14:paraId="0FA358B2" w14:textId="77777777" w:rsidR="00EF67AF" w:rsidRDefault="00EF67A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3E261" w14:textId="77777777" w:rsidR="001712A4" w:rsidRDefault="001712A4" w:rsidP="00D64A18">
      <w:r>
        <w:separator/>
      </w:r>
    </w:p>
  </w:footnote>
  <w:footnote w:type="continuationSeparator" w:id="0">
    <w:p w14:paraId="2BB0D893" w14:textId="77777777" w:rsidR="001712A4" w:rsidRDefault="001712A4" w:rsidP="00D6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B5B2E2E"/>
    <w:multiLevelType w:val="hybridMultilevel"/>
    <w:tmpl w:val="FEA6F21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D882864"/>
    <w:multiLevelType w:val="hybridMultilevel"/>
    <w:tmpl w:val="814E26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4A28AC"/>
    <w:multiLevelType w:val="hybridMultilevel"/>
    <w:tmpl w:val="DE8894F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9C"/>
    <w:rsid w:val="00055828"/>
    <w:rsid w:val="00077B2A"/>
    <w:rsid w:val="000A5093"/>
    <w:rsid w:val="000D144A"/>
    <w:rsid w:val="000F17C9"/>
    <w:rsid w:val="001446B2"/>
    <w:rsid w:val="001477DE"/>
    <w:rsid w:val="00156691"/>
    <w:rsid w:val="001712A4"/>
    <w:rsid w:val="00176F15"/>
    <w:rsid w:val="001E2F1A"/>
    <w:rsid w:val="00201FED"/>
    <w:rsid w:val="00203EA8"/>
    <w:rsid w:val="00245412"/>
    <w:rsid w:val="002678D5"/>
    <w:rsid w:val="00276691"/>
    <w:rsid w:val="002F249A"/>
    <w:rsid w:val="002F54A7"/>
    <w:rsid w:val="00326F3E"/>
    <w:rsid w:val="00373486"/>
    <w:rsid w:val="00374C9C"/>
    <w:rsid w:val="00381930"/>
    <w:rsid w:val="003A17C4"/>
    <w:rsid w:val="003B1F08"/>
    <w:rsid w:val="003C5762"/>
    <w:rsid w:val="003E1837"/>
    <w:rsid w:val="00430CDE"/>
    <w:rsid w:val="00490A7B"/>
    <w:rsid w:val="004D10CA"/>
    <w:rsid w:val="00502BB0"/>
    <w:rsid w:val="005125E5"/>
    <w:rsid w:val="00527FAE"/>
    <w:rsid w:val="0057288C"/>
    <w:rsid w:val="005760EA"/>
    <w:rsid w:val="00576C96"/>
    <w:rsid w:val="005B29B2"/>
    <w:rsid w:val="005D07EF"/>
    <w:rsid w:val="005E6A1A"/>
    <w:rsid w:val="0062115D"/>
    <w:rsid w:val="00655FD7"/>
    <w:rsid w:val="006965ED"/>
    <w:rsid w:val="0074312E"/>
    <w:rsid w:val="0075181E"/>
    <w:rsid w:val="007B410F"/>
    <w:rsid w:val="0084651E"/>
    <w:rsid w:val="00857070"/>
    <w:rsid w:val="008A1906"/>
    <w:rsid w:val="008B0327"/>
    <w:rsid w:val="008D3C63"/>
    <w:rsid w:val="008E414E"/>
    <w:rsid w:val="009C03AD"/>
    <w:rsid w:val="009D37EA"/>
    <w:rsid w:val="009E3200"/>
    <w:rsid w:val="00A34D7A"/>
    <w:rsid w:val="00A464B8"/>
    <w:rsid w:val="00B250F8"/>
    <w:rsid w:val="00B359A2"/>
    <w:rsid w:val="00B73C0F"/>
    <w:rsid w:val="00BA6924"/>
    <w:rsid w:val="00BB299D"/>
    <w:rsid w:val="00BC3D47"/>
    <w:rsid w:val="00BE278D"/>
    <w:rsid w:val="00C37835"/>
    <w:rsid w:val="00C407AC"/>
    <w:rsid w:val="00C921C7"/>
    <w:rsid w:val="00CC2DFE"/>
    <w:rsid w:val="00D11FDB"/>
    <w:rsid w:val="00D26B1F"/>
    <w:rsid w:val="00D355AE"/>
    <w:rsid w:val="00D64A18"/>
    <w:rsid w:val="00DD1867"/>
    <w:rsid w:val="00DD206C"/>
    <w:rsid w:val="00E54A10"/>
    <w:rsid w:val="00EB22EF"/>
    <w:rsid w:val="00EF67AF"/>
    <w:rsid w:val="00F24977"/>
    <w:rsid w:val="00F565A3"/>
    <w:rsid w:val="00F726E0"/>
    <w:rsid w:val="00F84CF3"/>
    <w:rsid w:val="00FA4601"/>
    <w:rsid w:val="00FA6FC3"/>
    <w:rsid w:val="00FC7D74"/>
    <w:rsid w:val="00FD1246"/>
    <w:rsid w:val="00FE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8CCBB"/>
  <w15:chartTrackingRefBased/>
  <w15:docId w15:val="{F1D62E7F-1131-46CF-A57D-7093A00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176F1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B1F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B359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59A2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55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84651E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D64A1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D64A18"/>
    <w:rPr>
      <w:sz w:val="20"/>
      <w:szCs w:val="20"/>
    </w:rPr>
  </w:style>
  <w:style w:type="paragraph" w:styleId="ab">
    <w:name w:val="List Paragraph"/>
    <w:basedOn w:val="a"/>
    <w:uiPriority w:val="34"/>
    <w:qFormat/>
    <w:rsid w:val="00D11FDB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176F15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7F4E2-0B25-4754-8357-BCEB53704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sjs-personal</dc:creator>
  <cp:keywords/>
  <dc:description/>
  <cp:lastModifiedBy>db</cp:lastModifiedBy>
  <cp:revision>63</cp:revision>
  <dcterms:created xsi:type="dcterms:W3CDTF">2022-09-04T02:44:00Z</dcterms:created>
  <dcterms:modified xsi:type="dcterms:W3CDTF">2026-07-07T07:23:00Z</dcterms:modified>
</cp:coreProperties>
</file>