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26BA" w14:textId="4BE89E74" w:rsidR="002D696F" w:rsidRPr="002D696F" w:rsidRDefault="002D696F" w:rsidP="002D696F">
      <w:pPr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56"/>
          <w:szCs w:val="56"/>
        </w:rPr>
        <w:t>北宋的政治風暴：「新舊黨爭」</w:t>
      </w:r>
    </w:p>
    <w:p w14:paraId="01D1536A" w14:textId="714788A0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「新舊黨爭」是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="004835A4">
        <w:rPr>
          <w:rFonts w:ascii="標楷體" w:eastAsia="標楷體" w:hAnsi="標楷體" w:hint="eastAsia"/>
          <w:sz w:val="28"/>
          <w:szCs w:val="28"/>
        </w:rPr>
        <w:t xml:space="preserve"> 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2D696F">
        <w:rPr>
          <w:rFonts w:ascii="標楷體" w:eastAsia="標楷體" w:hAnsi="標楷體" w:hint="eastAsia"/>
          <w:sz w:val="28"/>
          <w:szCs w:val="28"/>
        </w:rPr>
        <w:t>中後期長達數十年的政治大衝突，主要圍繞著國家政策的改革方向展開。這場黨爭不僅影響了當時朝廷的政局，也深刻改變了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2D696F">
        <w:rPr>
          <w:rFonts w:ascii="標楷體" w:eastAsia="標楷體" w:hAnsi="標楷體" w:hint="eastAsia"/>
          <w:sz w:val="28"/>
          <w:szCs w:val="28"/>
        </w:rPr>
        <w:t>的國運。</w:t>
      </w:r>
    </w:p>
    <w:p w14:paraId="5679BE12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177D8F59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一、 黨爭的起因與核心人物</w:t>
      </w:r>
    </w:p>
    <w:p w14:paraId="46F1111D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十一世紀中葉，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2D696F">
        <w:rPr>
          <w:rFonts w:ascii="標楷體" w:eastAsia="標楷體" w:hAnsi="標楷體" w:hint="eastAsia"/>
          <w:sz w:val="28"/>
          <w:szCs w:val="28"/>
        </w:rPr>
        <w:t>面臨嚴重的財政危機與邊防壓力（冗官、冗兵、冗費）。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宋神宗</w:t>
      </w:r>
      <w:r w:rsidRPr="002D696F">
        <w:rPr>
          <w:rFonts w:ascii="標楷體" w:eastAsia="標楷體" w:hAnsi="標楷體" w:hint="eastAsia"/>
          <w:sz w:val="28"/>
          <w:szCs w:val="28"/>
        </w:rPr>
        <w:t>即位後，起用具有改革決心的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王安石</w:t>
      </w:r>
      <w:r w:rsidRPr="002D696F">
        <w:rPr>
          <w:rFonts w:ascii="標楷體" w:eastAsia="標楷體" w:hAnsi="標楷體" w:hint="eastAsia"/>
          <w:sz w:val="28"/>
          <w:szCs w:val="28"/>
        </w:rPr>
        <w:t>為宰相，推行一系列旨在富國強兵的「新法」（如青苗法、募役法、方田均稅法等）。</w:t>
      </w:r>
    </w:p>
    <w:p w14:paraId="292A5FD3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59AAF6C5" w14:textId="60515AAF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然而，新法的推行觸動了保守派官僚的利益。以文學家兼政治家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司馬光</w:t>
      </w:r>
      <w:r w:rsidRPr="002D696F">
        <w:rPr>
          <w:rFonts w:ascii="標楷體" w:eastAsia="標楷體" w:hAnsi="標楷體" w:hint="eastAsia"/>
          <w:sz w:val="28"/>
          <w:szCs w:val="28"/>
        </w:rPr>
        <w:t>為首的舊黨認為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王安石</w:t>
      </w:r>
      <w:r w:rsidRPr="002D696F">
        <w:rPr>
          <w:rFonts w:ascii="標楷體" w:eastAsia="標楷體" w:hAnsi="標楷體" w:hint="eastAsia"/>
          <w:sz w:val="28"/>
          <w:szCs w:val="28"/>
        </w:rPr>
        <w:t>的新法過於急躁、擾民，且多用小人，因此堅決反對。朝廷官員逐漸分裂為支持新法的「新黨」與反對新法的「舊黨」。</w:t>
      </w:r>
    </w:p>
    <w:p w14:paraId="0EC9CA99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6E6DF9B0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二、 派系輪替與政策反覆</w:t>
      </w:r>
    </w:p>
    <w:p w14:paraId="7D465264" w14:textId="1A92A6BC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新舊黨爭最嚴重的問題在於黨爭化與情緒化，演變成「為反對而反對」的惡性循環：</w:t>
      </w:r>
    </w:p>
    <w:p w14:paraId="0E7D17B7" w14:textId="69B33204" w:rsidR="002D696F" w:rsidRPr="00673D5D" w:rsidRDefault="002D696F" w:rsidP="004835A4">
      <w:pPr>
        <w:pStyle w:val="a7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673D5D">
        <w:rPr>
          <w:rFonts w:ascii="標楷體" w:eastAsia="標楷體" w:hAnsi="標楷體" w:hint="eastAsia"/>
          <w:sz w:val="28"/>
          <w:szCs w:val="28"/>
        </w:rPr>
        <w:t>新黨掌權時：全面推行新法，罷黜甚至流放舊黨成員。</w:t>
      </w:r>
    </w:p>
    <w:p w14:paraId="700372C9" w14:textId="336D29A1" w:rsidR="002D696F" w:rsidRPr="00673D5D" w:rsidRDefault="002D696F" w:rsidP="004835A4">
      <w:pPr>
        <w:pStyle w:val="a7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673D5D">
        <w:rPr>
          <w:rFonts w:ascii="標楷體" w:eastAsia="標楷體" w:hAnsi="標楷體" w:hint="eastAsia"/>
          <w:sz w:val="28"/>
          <w:szCs w:val="28"/>
        </w:rPr>
        <w:t>舊黨掌權時（如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司馬光</w:t>
      </w:r>
      <w:r w:rsidRPr="00673D5D">
        <w:rPr>
          <w:rFonts w:ascii="標楷體" w:eastAsia="標楷體" w:hAnsi="標楷體" w:hint="eastAsia"/>
          <w:sz w:val="28"/>
          <w:szCs w:val="28"/>
        </w:rPr>
        <w:t>短暫主政的</w:t>
      </w:r>
      <w:r w:rsidR="004835A4">
        <w:rPr>
          <w:rFonts w:ascii="標楷體" w:eastAsia="標楷體" w:hAnsi="標楷體" w:hint="eastAsia"/>
          <w:sz w:val="28"/>
          <w:szCs w:val="28"/>
        </w:rPr>
        <w:t>元祜</w:t>
      </w:r>
      <w:r w:rsidR="00565730">
        <w:rPr>
          <w:rFonts w:ascii="標楷體" w:eastAsia="標楷體" w:hAnsi="標楷體" w:hint="eastAsia"/>
          <w:sz w:val="28"/>
          <w:szCs w:val="28"/>
        </w:rPr>
        <w:t>(</w:t>
      </w:r>
      <w:r w:rsidR="00565730" w:rsidRPr="00565730">
        <w:rPr>
          <w:rFonts w:ascii="標楷體" w:eastAsia="標楷體" w:hAnsi="標楷體" w:hint="eastAsia"/>
          <w:color w:val="EE0000"/>
          <w:sz w:val="16"/>
          <w:szCs w:val="16"/>
        </w:rPr>
        <w:t>ㄏㄨˋ</w:t>
      </w:r>
      <w:r w:rsidR="00565730">
        <w:rPr>
          <w:rFonts w:ascii="標楷體" w:eastAsia="標楷體" w:hAnsi="標楷體" w:hint="eastAsia"/>
          <w:sz w:val="28"/>
          <w:szCs w:val="28"/>
        </w:rPr>
        <w:t>)</w:t>
      </w:r>
      <w:r w:rsidRPr="00673D5D">
        <w:rPr>
          <w:rFonts w:ascii="標楷體" w:eastAsia="標楷體" w:hAnsi="標楷體" w:hint="eastAsia"/>
          <w:sz w:val="28"/>
          <w:szCs w:val="28"/>
        </w:rPr>
        <w:t>年間）：全面廢除新法，恢復舊制。</w:t>
      </w:r>
    </w:p>
    <w:p w14:paraId="4F5788C6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6C26E23A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這種政權更迭導致國家政策朝令夕改，基層百姓與地方官吏無所適從，行政效率大幅降低。</w:t>
      </w:r>
    </w:p>
    <w:p w14:paraId="2AC1C428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668EFA63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三、 歷史影響與省思</w:t>
      </w:r>
    </w:p>
    <w:p w14:paraId="1628893A" w14:textId="50BC9B4D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新舊黨爭後來進一步惡化為「</w:t>
      </w:r>
      <w:hyperlink r:id="rId7" w:history="1">
        <w:r w:rsidR="004835A4" w:rsidRPr="00C717B4">
          <w:rPr>
            <w:rStyle w:val="a8"/>
            <w:rFonts w:ascii="標楷體" w:eastAsia="標楷體" w:hAnsi="標楷體"/>
            <w:sz w:val="28"/>
            <w:szCs w:val="28"/>
          </w:rPr>
          <w:t>元祜</w:t>
        </w:r>
        <w:r w:rsidRPr="00C717B4">
          <w:rPr>
            <w:rStyle w:val="a8"/>
            <w:rFonts w:ascii="標楷體" w:eastAsia="標楷體" w:hAnsi="標楷體"/>
            <w:sz w:val="28"/>
            <w:szCs w:val="28"/>
          </w:rPr>
          <w:t>黨人</w:t>
        </w:r>
      </w:hyperlink>
      <w:r w:rsidRPr="002D696F">
        <w:rPr>
          <w:rFonts w:ascii="標楷體" w:eastAsia="標楷體" w:hAnsi="標楷體" w:hint="eastAsia"/>
          <w:sz w:val="28"/>
          <w:szCs w:val="28"/>
        </w:rPr>
        <w:t>」的</w:t>
      </w:r>
      <w:r w:rsidR="004835A4" w:rsidRPr="004835A4">
        <w:rPr>
          <w:rFonts w:ascii="標楷體" w:eastAsia="標楷體" w:hAnsi="標楷體"/>
          <w:sz w:val="28"/>
          <w:szCs w:val="28"/>
        </w:rPr>
        <w:t>黨籍之禍</w:t>
      </w:r>
      <w:r w:rsidRPr="002D696F">
        <w:rPr>
          <w:rFonts w:ascii="標楷體" w:eastAsia="標楷體" w:hAnsi="標楷體" w:hint="eastAsia"/>
          <w:sz w:val="28"/>
          <w:szCs w:val="28"/>
        </w:rPr>
        <w:t>，朝中正直之士多遭貶謫，嚴重削弱了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2D696F">
        <w:rPr>
          <w:rFonts w:ascii="標楷體" w:eastAsia="標楷體" w:hAnsi="標楷體" w:hint="eastAsia"/>
          <w:sz w:val="28"/>
          <w:szCs w:val="28"/>
        </w:rPr>
        <w:t>的政治清明度與國防實力。不久後，金兵南下，</w:t>
      </w:r>
      <w:r w:rsidRPr="004835A4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2D696F">
        <w:rPr>
          <w:rFonts w:ascii="標楷體" w:eastAsia="標楷體" w:hAnsi="標楷體" w:hint="eastAsia"/>
          <w:sz w:val="28"/>
          <w:szCs w:val="28"/>
        </w:rPr>
        <w:t>在靖康之難中滅亡。</w:t>
      </w:r>
    </w:p>
    <w:p w14:paraId="2C2520B5" w14:textId="77777777" w:rsidR="002D696F" w:rsidRPr="002D696F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31FB51A6" w14:textId="276480CB" w:rsidR="002E6BE4" w:rsidRPr="00F2310A" w:rsidRDefault="002D696F" w:rsidP="004835A4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D696F">
        <w:rPr>
          <w:rFonts w:ascii="標楷體" w:eastAsia="標楷體" w:hAnsi="標楷體" w:hint="eastAsia"/>
          <w:sz w:val="28"/>
          <w:szCs w:val="28"/>
        </w:rPr>
        <w:t>新舊黨爭給後世最重要的省思在於：改革固然需要魄力與新政，但若缺乏包容異見的雅量，讓政策討論變成政治鬥爭，最終受害的往往是國家與人民。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E1DA0" w14:textId="77777777" w:rsidR="00F367A8" w:rsidRDefault="00F367A8" w:rsidP="002E6BE4">
      <w:r>
        <w:separator/>
      </w:r>
    </w:p>
  </w:endnote>
  <w:endnote w:type="continuationSeparator" w:id="0">
    <w:p w14:paraId="0722942D" w14:textId="77777777" w:rsidR="00F367A8" w:rsidRDefault="00F367A8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A40D" w14:textId="77777777" w:rsidR="00F367A8" w:rsidRDefault="00F367A8" w:rsidP="002E6BE4">
      <w:r>
        <w:separator/>
      </w:r>
    </w:p>
  </w:footnote>
  <w:footnote w:type="continuationSeparator" w:id="0">
    <w:p w14:paraId="4017DC49" w14:textId="77777777" w:rsidR="00F367A8" w:rsidRDefault="00F367A8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B2A00"/>
    <w:multiLevelType w:val="hybridMultilevel"/>
    <w:tmpl w:val="F910A3C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86749336">
    <w:abstractNumId w:val="0"/>
  </w:num>
  <w:num w:numId="2" w16cid:durableId="1279070709">
    <w:abstractNumId w:val="4"/>
  </w:num>
  <w:num w:numId="3" w16cid:durableId="1466847389">
    <w:abstractNumId w:val="3"/>
  </w:num>
  <w:num w:numId="4" w16cid:durableId="1820686180">
    <w:abstractNumId w:val="2"/>
  </w:num>
  <w:num w:numId="5" w16cid:durableId="2009672025">
    <w:abstractNumId w:val="6"/>
  </w:num>
  <w:num w:numId="6" w16cid:durableId="476075124">
    <w:abstractNumId w:val="1"/>
  </w:num>
  <w:num w:numId="7" w16cid:durableId="261769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1F33F0"/>
    <w:rsid w:val="00231655"/>
    <w:rsid w:val="00252AA6"/>
    <w:rsid w:val="002D696F"/>
    <w:rsid w:val="002E6BE4"/>
    <w:rsid w:val="004835A4"/>
    <w:rsid w:val="00565730"/>
    <w:rsid w:val="00673D5D"/>
    <w:rsid w:val="00BC1955"/>
    <w:rsid w:val="00C717B4"/>
    <w:rsid w:val="00DF5EF5"/>
    <w:rsid w:val="00F2310A"/>
    <w:rsid w:val="00F367A8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  <w:style w:type="character" w:styleId="a8">
    <w:name w:val="Hyperlink"/>
    <w:basedOn w:val="a0"/>
    <w:uiPriority w:val="99"/>
    <w:unhideWhenUsed/>
    <w:rsid w:val="00C717B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71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&#21271;&#23435;&#30340;&#12300;&#20803;&#31068;&#40680;&#20154;&#12301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9</cp:revision>
  <cp:lastPrinted>2026-09-24T06:52:00Z</cp:lastPrinted>
  <dcterms:created xsi:type="dcterms:W3CDTF">2026-09-24T06:23:00Z</dcterms:created>
  <dcterms:modified xsi:type="dcterms:W3CDTF">2026-09-25T11:54:00Z</dcterms:modified>
</cp:coreProperties>
</file>