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230A31B0" w:rsidR="00082A9F" w:rsidRPr="000E09BA" w:rsidRDefault="000E09BA" w:rsidP="002E6BE4">
      <w:pPr>
        <w:rPr>
          <w:rFonts w:ascii="標楷體" w:eastAsia="標楷體" w:hAnsi="標楷體"/>
          <w:spacing w:val="-6"/>
          <w:sz w:val="44"/>
          <w:szCs w:val="44"/>
        </w:rPr>
      </w:pPr>
      <w:r w:rsidRPr="000E09BA">
        <w:rPr>
          <w:rFonts w:ascii="標楷體" w:eastAsia="標楷體" w:hAnsi="標楷體"/>
          <w:spacing w:val="-6"/>
          <w:sz w:val="44"/>
          <w:szCs w:val="44"/>
        </w:rPr>
        <w:t>探析王國維《人間詞話》中的「造境」與「寫境」</w:t>
      </w:r>
    </w:p>
    <w:p w14:paraId="75EF1E6B" w14:textId="77777777" w:rsidR="000E09BA" w:rsidRPr="000E09BA" w:rsidRDefault="000E09BA" w:rsidP="00DB4009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在</w:t>
      </w:r>
      <w:r w:rsidRPr="00DB4009">
        <w:rPr>
          <w:rFonts w:ascii="標楷體" w:eastAsia="標楷體" w:hAnsi="標楷體" w:hint="eastAsia"/>
          <w:sz w:val="28"/>
          <w:szCs w:val="28"/>
          <w:u w:val="single"/>
        </w:rPr>
        <w:t>清代</w:t>
      </w:r>
      <w:r w:rsidRPr="000E09BA">
        <w:rPr>
          <w:rFonts w:ascii="標楷體" w:eastAsia="標楷體" w:hAnsi="標楷體" w:hint="eastAsia"/>
          <w:sz w:val="28"/>
          <w:szCs w:val="28"/>
        </w:rPr>
        <w:t>著名學者</w:t>
      </w:r>
      <w:r w:rsidRPr="00DB4009">
        <w:rPr>
          <w:rFonts w:ascii="標楷體" w:eastAsia="標楷體" w:hAnsi="標楷體" w:hint="eastAsia"/>
          <w:sz w:val="28"/>
          <w:szCs w:val="28"/>
          <w:u w:val="single"/>
        </w:rPr>
        <w:t>王國維</w:t>
      </w:r>
      <w:r w:rsidRPr="000E09BA">
        <w:rPr>
          <w:rFonts w:ascii="標楷體" w:eastAsia="標楷體" w:hAnsi="標楷體" w:hint="eastAsia"/>
          <w:sz w:val="28"/>
          <w:szCs w:val="28"/>
        </w:rPr>
        <w:t>的文學批評巨著《人間詞話》中，他對詞的本質與創作手法提出了深刻見解。其中，最核心的美學概念之一便是將文學創作的意境劃分為「造境」與「寫境」。這兩個概念不僅指引了古典詩詞的創作路徑，也成為</w:t>
      </w:r>
      <w:r w:rsidRPr="00DB4009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0E09BA">
        <w:rPr>
          <w:rFonts w:ascii="標楷體" w:eastAsia="標楷體" w:hAnsi="標楷體" w:hint="eastAsia"/>
          <w:sz w:val="28"/>
          <w:szCs w:val="28"/>
        </w:rPr>
        <w:t>美學中衡量藝術境界高下的重要標準。</w:t>
      </w:r>
    </w:p>
    <w:p w14:paraId="46D6A93C" w14:textId="77777777" w:rsidR="000E09BA" w:rsidRPr="00DB4009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DB4009">
        <w:rPr>
          <w:rFonts w:ascii="標楷體" w:eastAsia="標楷體" w:hAnsi="標楷體" w:hint="eastAsia"/>
          <w:b/>
          <w:bCs/>
          <w:sz w:val="28"/>
          <w:szCs w:val="28"/>
        </w:rPr>
        <w:t>一、 「造境」：心靈重構的藝術世界</w:t>
      </w:r>
    </w:p>
    <w:p w14:paraId="34273957" w14:textId="77777777" w:rsidR="000E09BA" w:rsidRPr="000E09BA" w:rsidRDefault="000E09BA" w:rsidP="00DB4009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所謂「造境」，是指作者憑藉自身的想像力與藝術創造力，打破現實自然界原有的樣貌，在心中重新建構出一個超越現實的藝術境界。</w:t>
      </w:r>
    </w:p>
    <w:p w14:paraId="38EA4CAA" w14:textId="77777777" w:rsidR="000E09BA" w:rsidRPr="000E09BA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核心特徵：不拘泥於客觀事物的物理真實，強調主體情感與想像的介入。作者透過心靈的淬鍊，將情感具象化為前所未見的景象。</w:t>
      </w:r>
    </w:p>
    <w:p w14:paraId="07FD608A" w14:textId="77777777" w:rsidR="000E09BA" w:rsidRPr="000E09BA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代表範例：如「若木」、「瑤臺」、「嫦娥奔月」等神話意象，或是許多浪漫主義色彩濃厚的詩篇。</w:t>
      </w:r>
    </w:p>
    <w:p w14:paraId="620A5D5E" w14:textId="77777777" w:rsidR="000E09BA" w:rsidRPr="000E09BA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美學價值：造境展現了作者強大的藝術開創力。它不受客觀時空的限制，能更純粹、更濃烈地寄託詩人的理想與審美追求。</w:t>
      </w:r>
    </w:p>
    <w:p w14:paraId="7794EFD4" w14:textId="77777777" w:rsidR="000E09BA" w:rsidRPr="00DB4009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DB4009">
        <w:rPr>
          <w:rFonts w:ascii="標楷體" w:eastAsia="標楷體" w:hAnsi="標楷體" w:hint="eastAsia"/>
          <w:b/>
          <w:bCs/>
          <w:sz w:val="28"/>
          <w:szCs w:val="28"/>
        </w:rPr>
        <w:t>二、 「寫境」：客觀真實的藝術再現</w:t>
      </w:r>
    </w:p>
    <w:p w14:paraId="27C19359" w14:textId="77777777" w:rsidR="000E09BA" w:rsidRPr="000E09BA" w:rsidRDefault="000E09BA" w:rsidP="00DB4009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相對而言，「寫境」則是作者立足於現實生活，以細膩的觀察力與精煉的筆觸，對客觀景物進行逼真而傳神的描摹與再現。</w:t>
      </w:r>
    </w:p>
    <w:p w14:paraId="242345B1" w14:textId="77777777" w:rsidR="000E09BA" w:rsidRPr="000E09BA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核心特徵：重在「寫實」，強調景物與真情實感的契合。作者往往「所見者乃物，所感者乃情」，做到情景交融、物我兩忘。</w:t>
      </w:r>
    </w:p>
    <w:p w14:paraId="34620DD7" w14:textId="77777777" w:rsidR="000E09BA" w:rsidRPr="00DB4009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 w:rsidRPr="00DB4009">
        <w:rPr>
          <w:rFonts w:ascii="標楷體" w:eastAsia="標楷體" w:hAnsi="標楷體" w:hint="eastAsia"/>
          <w:spacing w:val="-4"/>
          <w:sz w:val="28"/>
          <w:szCs w:val="28"/>
        </w:rPr>
        <w:t>代表範例：如</w:t>
      </w:r>
      <w:r w:rsidRPr="00DB4009">
        <w:rPr>
          <w:rFonts w:ascii="標楷體" w:eastAsia="標楷體" w:hAnsi="標楷體" w:hint="eastAsia"/>
          <w:spacing w:val="-4"/>
          <w:sz w:val="28"/>
          <w:szCs w:val="28"/>
          <w:u w:val="single"/>
        </w:rPr>
        <w:t>溫庭筠</w:t>
      </w:r>
      <w:r w:rsidRPr="00DB4009">
        <w:rPr>
          <w:rFonts w:ascii="標楷體" w:eastAsia="標楷體" w:hAnsi="標楷體" w:hint="eastAsia"/>
          <w:spacing w:val="-4"/>
          <w:sz w:val="28"/>
          <w:szCs w:val="28"/>
        </w:rPr>
        <w:t>的「雞聲茅店月，人跡板橋霜」，或是</w:t>
      </w:r>
      <w:r w:rsidRPr="00DB4009">
        <w:rPr>
          <w:rFonts w:ascii="標楷體" w:eastAsia="標楷體" w:hAnsi="標楷體" w:hint="eastAsia"/>
          <w:spacing w:val="-4"/>
          <w:sz w:val="28"/>
          <w:szCs w:val="28"/>
          <w:u w:val="single"/>
        </w:rPr>
        <w:t>馬致遠</w:t>
      </w:r>
      <w:r w:rsidRPr="00DB4009">
        <w:rPr>
          <w:rFonts w:ascii="標楷體" w:eastAsia="標楷體" w:hAnsi="標楷體" w:hint="eastAsia"/>
          <w:spacing w:val="-4"/>
          <w:sz w:val="28"/>
          <w:szCs w:val="28"/>
        </w:rPr>
        <w:t>的「枯藤老樹昏鴉，小橋流水人家」，皆是精準捕捉眼前景物，不加虛構卻動人心魄的寫境典範。</w:t>
      </w:r>
    </w:p>
    <w:p w14:paraId="5F08217C" w14:textId="77777777" w:rsidR="000E09BA" w:rsidRPr="000E09BA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美學價值：寫境體現了藝術源於生活的真實力量。它透過平凡的客觀景物，喚起讀者共同的生命體驗與審美共鳴。</w:t>
      </w:r>
    </w:p>
    <w:p w14:paraId="613BC0A1" w14:textId="77777777" w:rsidR="000E09BA" w:rsidRPr="00DB4009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DB4009">
        <w:rPr>
          <w:rFonts w:ascii="標楷體" w:eastAsia="標楷體" w:hAnsi="標楷體" w:hint="eastAsia"/>
          <w:b/>
          <w:bCs/>
          <w:sz w:val="28"/>
          <w:szCs w:val="28"/>
        </w:rPr>
        <w:t>三、 兩者的融合與圓融境界</w:t>
      </w:r>
    </w:p>
    <w:p w14:paraId="4C59C8B7" w14:textId="77777777" w:rsidR="000E09BA" w:rsidRPr="000E09BA" w:rsidRDefault="000E09BA" w:rsidP="00DB4009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對於「造境」與「寫境」的關係，</w:t>
      </w:r>
      <w:r w:rsidRPr="00DB4009">
        <w:rPr>
          <w:rFonts w:ascii="標楷體" w:eastAsia="標楷體" w:hAnsi="標楷體" w:hint="eastAsia"/>
          <w:sz w:val="28"/>
          <w:szCs w:val="28"/>
          <w:u w:val="single"/>
        </w:rPr>
        <w:t>王國維</w:t>
      </w:r>
      <w:r w:rsidRPr="000E09BA">
        <w:rPr>
          <w:rFonts w:ascii="標楷體" w:eastAsia="標楷體" w:hAnsi="標楷體" w:hint="eastAsia"/>
          <w:sz w:val="28"/>
          <w:szCs w:val="28"/>
        </w:rPr>
        <w:t>進一步指出：「然二者頗難分別，因大詩人所造之境，必合乎自然，所寫之境，亦必鄰於理想故也。」</w:t>
      </w:r>
    </w:p>
    <w:p w14:paraId="31FB51A6" w14:textId="59F1152D" w:rsidR="002E6BE4" w:rsidRPr="00F2310A" w:rsidRDefault="000E09BA" w:rsidP="00DB4009">
      <w:pPr>
        <w:widowControl/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0E09BA">
        <w:rPr>
          <w:rFonts w:ascii="標楷體" w:eastAsia="標楷體" w:hAnsi="標楷體" w:hint="eastAsia"/>
          <w:sz w:val="28"/>
          <w:szCs w:val="28"/>
        </w:rPr>
        <w:t>這意味著，優秀的文學作品並非截然二分。純粹的造境若完全脫離人性與自然規律，則流於空洞；純粹的寫境若缺乏理想與情感的昇華，則淪為平庸。真正偉大的作品，往往是「理想與寫實」的完美結合——在寫境中融入理想的幻化（寫中有造），在造境中體現自然的真淳（造中有寫），達到「境非獨取於景，而情兼乎物」的最高審美境界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755BF" w14:textId="77777777" w:rsidR="00361B4C" w:rsidRDefault="00361B4C" w:rsidP="002E6BE4">
      <w:r>
        <w:separator/>
      </w:r>
    </w:p>
  </w:endnote>
  <w:endnote w:type="continuationSeparator" w:id="0">
    <w:p w14:paraId="35765F38" w14:textId="77777777" w:rsidR="00361B4C" w:rsidRDefault="00361B4C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DE0DA" w14:textId="77777777" w:rsidR="00361B4C" w:rsidRDefault="00361B4C" w:rsidP="002E6BE4">
      <w:r>
        <w:separator/>
      </w:r>
    </w:p>
  </w:footnote>
  <w:footnote w:type="continuationSeparator" w:id="0">
    <w:p w14:paraId="0E5B6995" w14:textId="77777777" w:rsidR="00361B4C" w:rsidRDefault="00361B4C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73973404">
    <w:abstractNumId w:val="0"/>
  </w:num>
  <w:num w:numId="2" w16cid:durableId="1044258010">
    <w:abstractNumId w:val="4"/>
  </w:num>
  <w:num w:numId="3" w16cid:durableId="959604261">
    <w:abstractNumId w:val="3"/>
  </w:num>
  <w:num w:numId="4" w16cid:durableId="1602296237">
    <w:abstractNumId w:val="2"/>
  </w:num>
  <w:num w:numId="5" w16cid:durableId="560484589">
    <w:abstractNumId w:val="5"/>
  </w:num>
  <w:num w:numId="6" w16cid:durableId="209835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0E09BA"/>
    <w:rsid w:val="0015463F"/>
    <w:rsid w:val="001A2735"/>
    <w:rsid w:val="00231655"/>
    <w:rsid w:val="00252AA6"/>
    <w:rsid w:val="002E6BE4"/>
    <w:rsid w:val="00361B4C"/>
    <w:rsid w:val="005E2713"/>
    <w:rsid w:val="007A531B"/>
    <w:rsid w:val="00B344C2"/>
    <w:rsid w:val="00BC1955"/>
    <w:rsid w:val="00DB4009"/>
    <w:rsid w:val="00F2310A"/>
    <w:rsid w:val="00F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8</cp:revision>
  <cp:lastPrinted>2026-09-24T06:52:00Z</cp:lastPrinted>
  <dcterms:created xsi:type="dcterms:W3CDTF">2026-09-24T06:23:00Z</dcterms:created>
  <dcterms:modified xsi:type="dcterms:W3CDTF">2026-09-27T12:12:00Z</dcterms:modified>
</cp:coreProperties>
</file>