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0616EEBF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0E915666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5EB1775A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54A814AA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(source).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(source).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 xml:space="preserve">caused by the virus (source).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(source).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(source).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(source)</w:t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>, even as though the virus becomes less prevalent.</w:t>
      </w:r>
    </w:p>
    <w:p w14:paraId="53252FFE" w14:textId="591F31C1" w:rsidR="00326C93" w:rsidRDefault="00326C93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Previous epidemics?</w:t>
      </w:r>
    </w:p>
    <w:p w14:paraId="0EA43040" w14:textId="77777777" w:rsidR="00F54E2B" w:rsidRDefault="00F54E2B" w:rsidP="00F54E2B">
      <w:pPr>
        <w:spacing w:after="240" w:line="240" w:lineRule="auto"/>
        <w:rPr>
          <w:rFonts w:asciiTheme="minorBidi" w:hAnsiTheme="minorBidi"/>
        </w:rPr>
      </w:pPr>
    </w:p>
    <w:p w14:paraId="056F840A" w14:textId="12B0DAA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>Identify and characterise common spike mutations + non vs syn mutations</w:t>
      </w:r>
    </w:p>
    <w:p w14:paraId="418FAE7E" w14:textId="6B798919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4875E8EF" w14:textId="5B593F71" w:rsidR="0083555F" w:rsidRDefault="001925EC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6ADD6F12" w14:textId="34D8074C" w:rsidR="00BB75BD" w:rsidRDefault="00BB75BD" w:rsidP="00BB75BD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Geographic distribution of spike protein mutations</w:t>
      </w:r>
    </w:p>
    <w:p w14:paraId="657F6600" w14:textId="7C86395D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1372D4B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54126E0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56727A0E" w14:textId="4999E095" w:rsidR="00AB547A" w:rsidRPr="001100D7" w:rsidRDefault="00826A52" w:rsidP="001100D7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73FD485D" w14:textId="7CDBA53D" w:rsidR="00826A52" w:rsidRDefault="0063602D" w:rsidP="00826A52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Non vs </w:t>
      </w:r>
      <w:r w:rsidR="00270814">
        <w:rPr>
          <w:rFonts w:asciiTheme="minorBidi" w:hAnsiTheme="minorBidi"/>
          <w:b/>
          <w:bCs/>
        </w:rPr>
        <w:t>syn mutations</w:t>
      </w:r>
    </w:p>
    <w:p w14:paraId="78944471" w14:textId="4B201A31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57BD723A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219BFDAF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Pr="009764CD" w:rsidRDefault="008C460E" w:rsidP="003448CF">
      <w:pPr>
        <w:spacing w:after="240" w:line="240" w:lineRule="auto"/>
        <w:rPr>
          <w:rFonts w:asciiTheme="minorBidi" w:hAnsiTheme="minorBidi"/>
        </w:rPr>
      </w:pPr>
    </w:p>
    <w:sectPr w:rsidR="008C460E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7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9"/>
  </w:num>
  <w:num w:numId="5" w16cid:durableId="1393119256">
    <w:abstractNumId w:val="10"/>
  </w:num>
  <w:num w:numId="6" w16cid:durableId="1092314542">
    <w:abstractNumId w:val="1"/>
  </w:num>
  <w:num w:numId="7" w16cid:durableId="1636178848">
    <w:abstractNumId w:val="12"/>
  </w:num>
  <w:num w:numId="8" w16cid:durableId="2059087497">
    <w:abstractNumId w:val="0"/>
  </w:num>
  <w:num w:numId="9" w16cid:durableId="1633752678">
    <w:abstractNumId w:val="13"/>
  </w:num>
  <w:num w:numId="10" w16cid:durableId="80298499">
    <w:abstractNumId w:val="8"/>
  </w:num>
  <w:num w:numId="11" w16cid:durableId="1530220380">
    <w:abstractNumId w:val="3"/>
  </w:num>
  <w:num w:numId="12" w16cid:durableId="587157548">
    <w:abstractNumId w:val="11"/>
  </w:num>
  <w:num w:numId="13" w16cid:durableId="1746954271">
    <w:abstractNumId w:val="6"/>
  </w:num>
  <w:num w:numId="14" w16cid:durableId="92846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F973T933P423M134"/>
    <w:docVar w:name="paperpile-doc-name" w:val="Document1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33718"/>
    <w:rsid w:val="00051576"/>
    <w:rsid w:val="00092A60"/>
    <w:rsid w:val="001100D7"/>
    <w:rsid w:val="00157794"/>
    <w:rsid w:val="00164B71"/>
    <w:rsid w:val="00191880"/>
    <w:rsid w:val="001925EC"/>
    <w:rsid w:val="001F4C87"/>
    <w:rsid w:val="00270814"/>
    <w:rsid w:val="0027168E"/>
    <w:rsid w:val="002723CB"/>
    <w:rsid w:val="002951E7"/>
    <w:rsid w:val="002B3048"/>
    <w:rsid w:val="002C3051"/>
    <w:rsid w:val="002D0705"/>
    <w:rsid w:val="002E735D"/>
    <w:rsid w:val="00302625"/>
    <w:rsid w:val="003052BF"/>
    <w:rsid w:val="00310F8C"/>
    <w:rsid w:val="00326C93"/>
    <w:rsid w:val="003448CF"/>
    <w:rsid w:val="003B243A"/>
    <w:rsid w:val="003E1E17"/>
    <w:rsid w:val="00415A9B"/>
    <w:rsid w:val="0047790C"/>
    <w:rsid w:val="004E66D1"/>
    <w:rsid w:val="00556BFD"/>
    <w:rsid w:val="00593836"/>
    <w:rsid w:val="00635EA3"/>
    <w:rsid w:val="0063602D"/>
    <w:rsid w:val="0064284D"/>
    <w:rsid w:val="0064526D"/>
    <w:rsid w:val="006453CB"/>
    <w:rsid w:val="00654BCF"/>
    <w:rsid w:val="006A561E"/>
    <w:rsid w:val="006F0913"/>
    <w:rsid w:val="006F1EE7"/>
    <w:rsid w:val="00790ED3"/>
    <w:rsid w:val="007D5284"/>
    <w:rsid w:val="007F57C0"/>
    <w:rsid w:val="00823898"/>
    <w:rsid w:val="00826A52"/>
    <w:rsid w:val="008326D8"/>
    <w:rsid w:val="0083555F"/>
    <w:rsid w:val="0085627E"/>
    <w:rsid w:val="008766C6"/>
    <w:rsid w:val="008A288F"/>
    <w:rsid w:val="008C460E"/>
    <w:rsid w:val="008D12BC"/>
    <w:rsid w:val="008E331E"/>
    <w:rsid w:val="008F69A4"/>
    <w:rsid w:val="009764CD"/>
    <w:rsid w:val="009C71A8"/>
    <w:rsid w:val="00A27C85"/>
    <w:rsid w:val="00A44A42"/>
    <w:rsid w:val="00A44B29"/>
    <w:rsid w:val="00A516C4"/>
    <w:rsid w:val="00A638AC"/>
    <w:rsid w:val="00A7596C"/>
    <w:rsid w:val="00AB547A"/>
    <w:rsid w:val="00AC0F94"/>
    <w:rsid w:val="00AD0827"/>
    <w:rsid w:val="00AE211A"/>
    <w:rsid w:val="00B3534C"/>
    <w:rsid w:val="00B55BA0"/>
    <w:rsid w:val="00BB75BD"/>
    <w:rsid w:val="00BF0789"/>
    <w:rsid w:val="00BF3DDD"/>
    <w:rsid w:val="00C8490C"/>
    <w:rsid w:val="00CD26F0"/>
    <w:rsid w:val="00CE0143"/>
    <w:rsid w:val="00D35278"/>
    <w:rsid w:val="00D47DCA"/>
    <w:rsid w:val="00D84ED8"/>
    <w:rsid w:val="00DA5479"/>
    <w:rsid w:val="00DC16CF"/>
    <w:rsid w:val="00DD15CE"/>
    <w:rsid w:val="00DD4B16"/>
    <w:rsid w:val="00DF24C6"/>
    <w:rsid w:val="00E101DC"/>
    <w:rsid w:val="00E307C0"/>
    <w:rsid w:val="00EA351D"/>
    <w:rsid w:val="00EC612B"/>
    <w:rsid w:val="00F14F5E"/>
    <w:rsid w:val="00F33CF3"/>
    <w:rsid w:val="00F41300"/>
    <w:rsid w:val="00F54E2B"/>
    <w:rsid w:val="00F61B3B"/>
    <w:rsid w:val="00F71795"/>
    <w:rsid w:val="00F77887"/>
    <w:rsid w:val="00F91402"/>
    <w:rsid w:val="00F97276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Samuel Aldous</cp:lastModifiedBy>
  <cp:revision>83</cp:revision>
  <dcterms:created xsi:type="dcterms:W3CDTF">2025-01-28T14:19:00Z</dcterms:created>
  <dcterms:modified xsi:type="dcterms:W3CDTF">2025-02-04T14:15:00Z</dcterms:modified>
</cp:coreProperties>
</file>