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73165A5"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3B2DA485"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CB5E9F" w:rsidRPr="00F54E07">
        <w:rPr>
          <w:rFonts w:asciiTheme="minorBidi" w:hAnsiTheme="minorBidi"/>
          <w:b/>
        </w:rPr>
        <w:t>(source)</w:t>
      </w:r>
      <w:r w:rsidR="00CB5E9F">
        <w:rPr>
          <w:rFonts w:asciiTheme="minorBidi" w:hAnsiTheme="minorBidi"/>
        </w:rPr>
        <w:t>.</w:t>
      </w:r>
      <w:r w:rsidR="003F20C8">
        <w:rPr>
          <w:rFonts w:asciiTheme="minorBidi" w:hAnsiTheme="minorBidi"/>
        </w:rPr>
        <w:t xml:space="preserve"> Hozumi et al also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10ECB650"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t>
      </w:r>
      <w:r w:rsidR="00A91609">
        <w:rPr>
          <w:rFonts w:asciiTheme="minorBidi" w:hAnsiTheme="minorBidi"/>
        </w:rPr>
        <w:t>Essentially, I</w:t>
      </w:r>
      <w:r w:rsidR="00794B57">
        <w:rPr>
          <w:rFonts w:asciiTheme="minorBidi" w:hAnsiTheme="minorBidi"/>
        </w:rPr>
        <w:t xml:space="preserve"> assess which dimensionality reduction method conserves the most </w:t>
      </w:r>
      <w:r w:rsidR="004476C3">
        <w:rPr>
          <w:rFonts w:asciiTheme="minorBidi" w:hAnsiTheme="minorBidi"/>
        </w:rPr>
        <w:t>important features of the data</w:t>
      </w:r>
      <w:r w:rsidR="005F1486">
        <w:rPr>
          <w:rFonts w:asciiTheme="minorBidi" w:hAnsiTheme="minorBidi"/>
        </w:rPr>
        <w:t xml:space="preserve">, </w:t>
      </w:r>
      <w:r w:rsidR="00B4666D">
        <w:rPr>
          <w:rFonts w:asciiTheme="minorBidi" w:hAnsiTheme="minorBidi"/>
        </w:rPr>
        <w:t xml:space="preserve">which </w:t>
      </w:r>
      <w:r w:rsidR="005F1486">
        <w:rPr>
          <w:rFonts w:asciiTheme="minorBidi" w:hAnsiTheme="minorBidi"/>
        </w:rPr>
        <w:t xml:space="preserve">method </w:t>
      </w:r>
      <w:r w:rsidR="00B4666D">
        <w:rPr>
          <w:rFonts w:asciiTheme="minorBidi" w:hAnsiTheme="minorBidi"/>
        </w:rPr>
        <w:t>is better with K-means to work out the number of clusters.</w:t>
      </w:r>
      <w:r w:rsidR="003F20C8">
        <w:rPr>
          <w:rFonts w:asciiTheme="minorBidi" w:hAnsiTheme="minorBidi"/>
        </w:rPr>
        <w:t xml:space="preserve"> </w:t>
      </w:r>
      <w:r w:rsidR="00956F7A">
        <w:rPr>
          <w:rFonts w:asciiTheme="minorBidi" w:hAnsiTheme="minorBidi"/>
        </w:rPr>
        <w:t xml:space="preserve">The second method involved manual dimensional reduction, removing one dimension per mutation removed. K-means was used </w:t>
      </w:r>
      <w:r w:rsidR="00E27F99">
        <w:rPr>
          <w:rFonts w:asciiTheme="minorBidi" w:hAnsiTheme="minorBidi"/>
        </w:rPr>
        <w:t xml:space="preserve">to </w:t>
      </w:r>
      <w:r w:rsidR="00956F7A">
        <w:rPr>
          <w:rFonts w:asciiTheme="minorBidi" w:hAnsiTheme="minorBidi"/>
        </w:rPr>
        <w:t xml:space="preserve">assess if this approach provided a more accurate </w:t>
      </w:r>
      <w:r w:rsidR="00AF00B7">
        <w:rPr>
          <w:rFonts w:asciiTheme="minorBidi" w:hAnsiTheme="minorBidi"/>
        </w:rPr>
        <w:t>representation for the number of clusters.</w:t>
      </w:r>
    </w:p>
    <w:p w14:paraId="37C9F688" w14:textId="4B2F2172" w:rsidR="00103AF4"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37125A">
        <w:rPr>
          <w:rFonts w:asciiTheme="minorBidi" w:hAnsiTheme="minorBidi"/>
        </w:rPr>
        <w:t xml:space="preserve"> </w:t>
      </w:r>
    </w:p>
    <w:p w14:paraId="584B89D9" w14:textId="6309C1EC" w:rsidR="00103AF4" w:rsidRPr="00D22C89" w:rsidRDefault="00103AF4" w:rsidP="008314D6">
      <w:pPr>
        <w:spacing w:after="240" w:line="240" w:lineRule="auto"/>
        <w:rPr>
          <w:rFonts w:asciiTheme="minorBidi" w:hAnsiTheme="minorBidi"/>
        </w:rPr>
      </w:pPr>
      <w:r w:rsidRPr="00D22C89">
        <w:rPr>
          <w:rFonts w:asciiTheme="minorBidi" w:hAnsiTheme="minorBidi"/>
        </w:rPr>
        <w:lastRenderedPageBreak/>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rPr>
        <w:fldChar w:fldCharType="begin" w:fldLock="1"/>
      </w:r>
      <w:r w:rsidR="00F75F27">
        <w:rPr>
          <w:rFonts w:asciiTheme="minorBidi" w:hAnsiTheme="minorBidi"/>
        </w:rPr>
        <w:instrText>ADDIN paperpile_citation &lt;clusterId&gt;Y741M791I281G812&lt;/clusterId&gt;&lt;metadata&gt;&lt;citation&gt;&lt;id&gt;01dc3b16-15ea-462f-81ab-e5ee598936d5&lt;/id&gt;&lt;/citation&gt;&lt;/metadata&gt;&lt;data&gt;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&lt;/data&gt; \* MERGEFORMAT</w:instrText>
      </w:r>
      <w:r w:rsidR="00F75F27">
        <w:rPr>
          <w:rFonts w:asciiTheme="minorBidi" w:hAnsiTheme="minorBidi"/>
        </w:rPr>
        <w:fldChar w:fldCharType="separate"/>
      </w:r>
      <w:r w:rsidR="00F75F27">
        <w:rPr>
          <w:rFonts w:asciiTheme="minorBidi" w:hAnsiTheme="minorBidi"/>
          <w:noProof/>
        </w:rPr>
        <w:t>(van der Maaten, 2008)</w:t>
      </w:r>
      <w:r w:rsidR="00F75F27">
        <w:rPr>
          <w:rFonts w:asciiTheme="minorBidi" w:hAnsiTheme="minorBidi"/>
        </w:rPr>
        <w:fldChar w:fldCharType="end"/>
      </w:r>
      <w:r w:rsidR="00F75F27">
        <w:rPr>
          <w:rFonts w:asciiTheme="minorBidi" w:hAnsiTheme="minorBidi"/>
        </w:rPr>
        <w:t>.</w:t>
      </w:r>
    </w:p>
    <w:p w14:paraId="013D39B4" w14:textId="5D3EF2DC" w:rsidR="00B05447" w:rsidRPr="000C3F6F" w:rsidRDefault="00B05447" w:rsidP="008314D6">
      <w:pPr>
        <w:spacing w:after="240" w:line="240" w:lineRule="auto"/>
        <w:rPr>
          <w:rFonts w:asciiTheme="minorBidi" w:hAnsiTheme="minorBidi"/>
          <w:lang w:val="it-IT"/>
        </w:rPr>
      </w:pPr>
      <w:r w:rsidRPr="000C3F6F">
        <w:rPr>
          <w:rFonts w:asciiTheme="minorBidi" w:hAnsiTheme="minorBidi"/>
          <w:lang w:val="it-IT"/>
        </w:rPr>
        <w:t xml:space="preserve">Non-linear dimensionality </w:t>
      </w:r>
      <w:proofErr w:type="spellStart"/>
      <w:r w:rsidRPr="000C3F6F">
        <w:rPr>
          <w:rFonts w:asciiTheme="minorBidi" w:hAnsiTheme="minorBidi"/>
          <w:lang w:val="it-IT"/>
        </w:rPr>
        <w:t>reduction</w:t>
      </w:r>
      <w:proofErr w:type="spellEnd"/>
      <w:r w:rsidRPr="000C3F6F">
        <w:rPr>
          <w:rFonts w:asciiTheme="minorBidi" w:hAnsiTheme="minorBidi"/>
          <w:lang w:val="it-IT"/>
        </w:rPr>
        <w:t xml:space="preserve"> </w:t>
      </w:r>
      <w:proofErr w:type="spellStart"/>
      <w:r w:rsidRPr="000C3F6F">
        <w:rPr>
          <w:rFonts w:asciiTheme="minorBidi" w:hAnsiTheme="minorBidi"/>
          <w:lang w:val="it-IT"/>
        </w:rPr>
        <w:t>algorithm</w:t>
      </w:r>
      <w:proofErr w:type="spellEnd"/>
    </w:p>
    <w:p w14:paraId="4552ABCD" w14:textId="7E20EA84" w:rsidR="00775542" w:rsidRDefault="00775542" w:rsidP="008314D6">
      <w:pPr>
        <w:spacing w:after="240" w:line="240" w:lineRule="auto"/>
        <w:rPr>
          <w:rFonts w:asciiTheme="minorBidi" w:hAnsiTheme="minorBidi"/>
        </w:rPr>
      </w:pPr>
      <w:r>
        <w:rPr>
          <w:rFonts w:asciiTheme="minorBidi" w:hAnsiTheme="minorBidi"/>
        </w:rPr>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Pr="00693A8E" w:rsidRDefault="00182809" w:rsidP="008314D6">
      <w:pPr>
        <w:spacing w:after="240" w:line="240" w:lineRule="auto"/>
        <w:rPr>
          <w:rFonts w:asciiTheme="minorBidi" w:hAnsiTheme="minorBidi"/>
          <w:b/>
        </w:rPr>
      </w:pPr>
      <w:r>
        <w:rPr>
          <w:rFonts w:asciiTheme="minorBidi" w:hAnsiTheme="minorBidi"/>
          <w:b/>
        </w:rPr>
        <w:t>PCA clustering vs t-SNE clustering</w:t>
      </w: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4B640725"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lastRenderedPageBreak/>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lastRenderedPageBreak/>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BB636A" w:rsidRDefault="005E5424" w:rsidP="00B84BFA">
      <w:pPr>
        <w:spacing w:after="240" w:line="240" w:lineRule="auto"/>
        <w:rPr>
          <w:rFonts w:asciiTheme="minorBidi" w:hAnsiTheme="minorBidi"/>
          <w:b/>
          <w:bCs/>
          <w:lang w:val="it-IT"/>
        </w:rPr>
      </w:pPr>
      <w:proofErr w:type="spellStart"/>
      <w:r w:rsidRPr="00BB636A">
        <w:rPr>
          <w:rFonts w:asciiTheme="minorBidi" w:hAnsiTheme="minorBidi"/>
          <w:b/>
          <w:bCs/>
          <w:lang w:val="it-IT"/>
        </w:rPr>
        <w:t>Mention</w:t>
      </w:r>
      <w:proofErr w:type="spellEnd"/>
      <w:r w:rsidRPr="00BB636A">
        <w:rPr>
          <w:rFonts w:asciiTheme="minorBidi" w:hAnsiTheme="minorBidi"/>
          <w:b/>
          <w:bCs/>
          <w:lang w:val="it-IT"/>
        </w:rPr>
        <w:t xml:space="preserve"> Creative Lab</w:t>
      </w:r>
    </w:p>
    <w:p w14:paraId="7E43CECF" w14:textId="77777777" w:rsidR="008C460E" w:rsidRPr="00BB636A" w:rsidRDefault="008C460E" w:rsidP="003448CF">
      <w:pPr>
        <w:spacing w:after="240" w:line="240" w:lineRule="auto"/>
        <w:rPr>
          <w:rFonts w:asciiTheme="minorBidi" w:hAnsiTheme="minorBidi"/>
          <w:lang w:val="it-IT"/>
        </w:rPr>
      </w:pPr>
    </w:p>
    <w:p w14:paraId="671990F0" w14:textId="77777777" w:rsidR="008C460E" w:rsidRPr="00BB636A" w:rsidRDefault="008C460E" w:rsidP="003448CF">
      <w:pPr>
        <w:spacing w:after="240" w:line="240" w:lineRule="auto"/>
        <w:rPr>
          <w:rFonts w:asciiTheme="minorBidi" w:hAnsiTheme="minorBidi"/>
          <w:lang w:val="it-IT"/>
        </w:rPr>
      </w:pPr>
    </w:p>
    <w:p w14:paraId="01E0854A" w14:textId="77777777" w:rsidR="008C460E" w:rsidRPr="00BB636A" w:rsidRDefault="008C460E" w:rsidP="003448CF">
      <w:pPr>
        <w:spacing w:after="240" w:line="240" w:lineRule="auto"/>
        <w:rPr>
          <w:rFonts w:asciiTheme="minorBidi" w:hAnsiTheme="minorBidi"/>
          <w:lang w:val="it-IT"/>
        </w:rPr>
      </w:pPr>
    </w:p>
    <w:p w14:paraId="7250FD4A" w14:textId="77777777" w:rsidR="008C460E" w:rsidRPr="00BB636A" w:rsidRDefault="008C460E" w:rsidP="003448CF">
      <w:pPr>
        <w:spacing w:after="240" w:line="240" w:lineRule="auto"/>
        <w:rPr>
          <w:rFonts w:asciiTheme="minorBidi" w:hAnsiTheme="minorBidi"/>
          <w:lang w:val="it-IT"/>
        </w:rPr>
      </w:pPr>
    </w:p>
    <w:p w14:paraId="235F8380" w14:textId="77777777" w:rsidR="00877738" w:rsidRPr="00BB636A" w:rsidRDefault="00877738" w:rsidP="003448CF">
      <w:pPr>
        <w:spacing w:after="240" w:line="240" w:lineRule="auto"/>
        <w:rPr>
          <w:rFonts w:asciiTheme="minorBidi" w:hAnsiTheme="minorBidi"/>
          <w:lang w:val="it-IT"/>
        </w:rPr>
      </w:pPr>
    </w:p>
    <w:p w14:paraId="3BB33486" w14:textId="746B5BD1" w:rsidR="00877738" w:rsidRPr="00BB636A" w:rsidRDefault="00877738" w:rsidP="00877738">
      <w:pPr>
        <w:spacing w:after="220" w:line="240" w:lineRule="auto"/>
        <w:rPr>
          <w:rFonts w:asciiTheme="minorBidi" w:hAnsiTheme="minorBidi"/>
          <w:lang w:val="it-IT"/>
        </w:rPr>
      </w:pPr>
    </w:p>
    <w:p w14:paraId="01E0B854" w14:textId="77777777" w:rsidR="00366BC7" w:rsidRPr="00BB636A" w:rsidRDefault="00366BC7" w:rsidP="0016519B">
      <w:pPr>
        <w:spacing w:after="220" w:line="240" w:lineRule="auto"/>
        <w:rPr>
          <w:rFonts w:asciiTheme="minorBidi" w:hAnsiTheme="minorBidi"/>
          <w:lang w:val="it-IT"/>
        </w:rPr>
      </w:pPr>
    </w:p>
    <w:p w14:paraId="2A8863DE" w14:textId="37D0DF0D" w:rsidR="00F75F27" w:rsidRPr="00F75F27"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75F27" w:rsidRPr="00F75F27">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75F27" w:rsidRPr="00F75F27">
        <w:rPr>
          <w:rFonts w:asciiTheme="minorBidi" w:hAnsiTheme="minorBidi"/>
          <w:noProof/>
        </w:rPr>
        <w:t xml:space="preserve">Amicone, M. et al. (2022). Mutation rate of SARS-CoV-2 and emergence of mutators during experimental evolution. </w:t>
      </w:r>
      <w:r w:rsidR="00F75F27" w:rsidRPr="00F75F27">
        <w:rPr>
          <w:rFonts w:asciiTheme="minorBidi" w:hAnsiTheme="minorBidi"/>
          <w:i/>
          <w:noProof/>
        </w:rPr>
        <w:t>Evolution, medicine, and public health</w:t>
      </w:r>
      <w:r w:rsidR="00F75F27" w:rsidRPr="00F75F27">
        <w:rPr>
          <w:rFonts w:asciiTheme="minorBidi" w:hAnsiTheme="minorBidi"/>
          <w:noProof/>
        </w:rPr>
        <w:t>, 10 (1), pp.142–155.</w:t>
      </w:r>
    </w:p>
    <w:p w14:paraId="32084B2F"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Arora, P. et al. (2020). Learning from history: Coronavirus outbreaks in the past. </w:t>
      </w:r>
      <w:r w:rsidRPr="00F75F27">
        <w:rPr>
          <w:rFonts w:asciiTheme="minorBidi" w:hAnsiTheme="minorBidi"/>
          <w:i/>
          <w:noProof/>
        </w:rPr>
        <w:t>Dermatologic therapy</w:t>
      </w:r>
      <w:r w:rsidRPr="00F75F27">
        <w:rPr>
          <w:rFonts w:asciiTheme="minorBidi" w:hAnsiTheme="minorBidi"/>
          <w:noProof/>
        </w:rPr>
        <w:t>, 33 (4), p.e13343.</w:t>
      </w:r>
    </w:p>
    <w:p w14:paraId="3F7D3833"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Chen, J. et al. (2020). Mutations strengthened SARS-CoV-2 infectivity. </w:t>
      </w:r>
      <w:r w:rsidRPr="00F75F27">
        <w:rPr>
          <w:rFonts w:asciiTheme="minorBidi" w:hAnsiTheme="minorBidi"/>
          <w:i/>
          <w:noProof/>
        </w:rPr>
        <w:t>Journal of molecular biology</w:t>
      </w:r>
      <w:r w:rsidRPr="00F75F27">
        <w:rPr>
          <w:rFonts w:asciiTheme="minorBidi" w:hAnsiTheme="minorBidi"/>
          <w:noProof/>
        </w:rPr>
        <w:t>, 432 (19), pp.5212–5226.</w:t>
      </w:r>
    </w:p>
    <w:p w14:paraId="08D9B3F4"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Cui, J., Li, F. and Shi, Z.-L. (2019). Origin and evolution of pathogenic coronaviruses. </w:t>
      </w:r>
      <w:r w:rsidRPr="00F75F27">
        <w:rPr>
          <w:rFonts w:asciiTheme="minorBidi" w:hAnsiTheme="minorBidi"/>
          <w:i/>
          <w:noProof/>
        </w:rPr>
        <w:t>Nature reviews. Microbiology</w:t>
      </w:r>
      <w:r w:rsidRPr="00F75F27">
        <w:rPr>
          <w:rFonts w:asciiTheme="minorBidi" w:hAnsiTheme="minorBidi"/>
          <w:noProof/>
        </w:rPr>
        <w:t>, 17 (3), pp.181–192. [Accessed 21 February 2025].</w:t>
      </w:r>
    </w:p>
    <w:p w14:paraId="078AB3E6"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lastRenderedPageBreak/>
        <w:t xml:space="preserve">Cutler, D. M. and Summers, L. H. (2020). The COVID-19 pandemic and the $16 trillion virus. </w:t>
      </w:r>
      <w:r w:rsidRPr="00F75F27">
        <w:rPr>
          <w:rFonts w:asciiTheme="minorBidi" w:hAnsiTheme="minorBidi"/>
          <w:i/>
          <w:noProof/>
        </w:rPr>
        <w:t>JAMA: the journal of the American Medical Association</w:t>
      </w:r>
      <w:r w:rsidRPr="00F75F27">
        <w:rPr>
          <w:rFonts w:asciiTheme="minorBidi" w:hAnsiTheme="minorBidi"/>
          <w:noProof/>
        </w:rPr>
        <w:t>, 324 (15), pp.1495–1496.</w:t>
      </w:r>
    </w:p>
    <w:p w14:paraId="4E27BD4E"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Fehr, A. R. and Perlman, S. (2015). Coronaviruses: an overview of their replication and pathogenesis. </w:t>
      </w:r>
      <w:r w:rsidRPr="00F75F27">
        <w:rPr>
          <w:rFonts w:asciiTheme="minorBidi" w:hAnsiTheme="minorBidi"/>
          <w:i/>
          <w:noProof/>
        </w:rPr>
        <w:t>Methods in molecular biology (Clifton, N.J.)</w:t>
      </w:r>
      <w:r w:rsidRPr="00F75F27">
        <w:rPr>
          <w:rFonts w:asciiTheme="minorBidi" w:hAnsiTheme="minorBidi"/>
          <w:noProof/>
        </w:rPr>
        <w:t>, 1282, pp.1–23.</w:t>
      </w:r>
    </w:p>
    <w:p w14:paraId="66A4C6D0"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Hoffmann, M. et al. (2020). SARS-CoV-2 cell entry depends on ACE2 and TMPRSS2 and is blocked by a clinically proven protease inhibitor. </w:t>
      </w:r>
      <w:r w:rsidRPr="00F75F27">
        <w:rPr>
          <w:rFonts w:asciiTheme="minorBidi" w:hAnsiTheme="minorBidi"/>
          <w:i/>
          <w:noProof/>
        </w:rPr>
        <w:t>Cell</w:t>
      </w:r>
      <w:r w:rsidRPr="00F75F27">
        <w:rPr>
          <w:rFonts w:asciiTheme="minorBidi" w:hAnsiTheme="minorBidi"/>
          <w:noProof/>
        </w:rPr>
        <w:t>, 181 (2), pp.271-280.e8.</w:t>
      </w:r>
    </w:p>
    <w:p w14:paraId="002545E1"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Hozumi, Y. et al. (2021). UMAP-assisted K-means clustering of large-scale SARS-CoV-2 mutation datasets. </w:t>
      </w:r>
      <w:r w:rsidRPr="00F75F27">
        <w:rPr>
          <w:rFonts w:asciiTheme="minorBidi" w:hAnsiTheme="minorBidi"/>
          <w:i/>
          <w:noProof/>
        </w:rPr>
        <w:t>Computers in biology and medicine</w:t>
      </w:r>
      <w:r w:rsidRPr="00F75F27">
        <w:rPr>
          <w:rFonts w:asciiTheme="minorBidi" w:hAnsiTheme="minorBidi"/>
          <w:noProof/>
        </w:rPr>
        <w:t>, 131 (104264), p.104264.</w:t>
      </w:r>
    </w:p>
    <w:p w14:paraId="6B734219"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Hu, B. et al. (2021). Characteristics of SARS-CoV-2 and COVID-19. </w:t>
      </w:r>
      <w:r w:rsidRPr="00F75F27">
        <w:rPr>
          <w:rFonts w:asciiTheme="minorBidi" w:hAnsiTheme="minorBidi"/>
          <w:i/>
          <w:noProof/>
        </w:rPr>
        <w:t>Nature reviews. Microbiology</w:t>
      </w:r>
      <w:r w:rsidRPr="00F75F27">
        <w:rPr>
          <w:rFonts w:asciiTheme="minorBidi" w:hAnsiTheme="minorBidi"/>
          <w:noProof/>
        </w:rPr>
        <w:t>, 19 (3), pp.141–154.</w:t>
      </w:r>
    </w:p>
    <w:p w14:paraId="1CF71757"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Huang, C. et al. (2020). Clinical features of patients infected with 2019 novel coronavirus in Wuhan, China. </w:t>
      </w:r>
      <w:r w:rsidRPr="00F75F27">
        <w:rPr>
          <w:rFonts w:asciiTheme="minorBidi" w:hAnsiTheme="minorBidi"/>
          <w:i/>
          <w:noProof/>
        </w:rPr>
        <w:t>Lancet</w:t>
      </w:r>
      <w:r w:rsidRPr="00F75F27">
        <w:rPr>
          <w:rFonts w:asciiTheme="minorBidi" w:hAnsiTheme="minorBidi"/>
          <w:noProof/>
        </w:rPr>
        <w:t>, 395 (10223), pp.497–506.</w:t>
      </w:r>
    </w:p>
    <w:p w14:paraId="6D3E9EFC"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Jolliffe, I. T. and Cadima, J. (2016). Principal component analysis: a review and recent developments. </w:t>
      </w:r>
      <w:r w:rsidRPr="00F75F27">
        <w:rPr>
          <w:rFonts w:asciiTheme="minorBidi" w:hAnsiTheme="minorBidi"/>
          <w:i/>
          <w:noProof/>
        </w:rPr>
        <w:t>Philosophical transactions. Series A, Mathematical, physical, and engineering sciences</w:t>
      </w:r>
      <w:r w:rsidRPr="00F75F27">
        <w:rPr>
          <w:rFonts w:asciiTheme="minorBidi" w:hAnsiTheme="minorBidi"/>
          <w:noProof/>
        </w:rPr>
        <w:t>, 374 (2065), p.20150202.</w:t>
      </w:r>
    </w:p>
    <w:p w14:paraId="1BEC027E"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Korber, B. et al. (2020). Tracking changes in SARS-CoV-2 Spike: Evidence that D614G increases infectivity of the COVID-19 virus. </w:t>
      </w:r>
      <w:r w:rsidRPr="00F75F27">
        <w:rPr>
          <w:rFonts w:asciiTheme="minorBidi" w:hAnsiTheme="minorBidi"/>
          <w:i/>
          <w:noProof/>
        </w:rPr>
        <w:t>Cell</w:t>
      </w:r>
      <w:r w:rsidRPr="00F75F27">
        <w:rPr>
          <w:rFonts w:asciiTheme="minorBidi" w:hAnsiTheme="minorBidi"/>
          <w:noProof/>
        </w:rPr>
        <w:t>, 182 (4), pp.812-827.e19.</w:t>
      </w:r>
    </w:p>
    <w:p w14:paraId="1498FF1A"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Li, M.-Y. et al. (2020). Expression of the SARS-CoV-2 cell receptor gene ACE2 in a wide variety of human tissues. </w:t>
      </w:r>
      <w:r w:rsidRPr="00F75F27">
        <w:rPr>
          <w:rFonts w:asciiTheme="minorBidi" w:hAnsiTheme="minorBidi"/>
          <w:i/>
          <w:noProof/>
        </w:rPr>
        <w:t>Infectious diseases of poverty</w:t>
      </w:r>
      <w:r w:rsidRPr="00F75F27">
        <w:rPr>
          <w:rFonts w:asciiTheme="minorBidi" w:hAnsiTheme="minorBidi"/>
          <w:noProof/>
        </w:rPr>
        <w:t>, 9 (1), p.45.</w:t>
      </w:r>
    </w:p>
    <w:p w14:paraId="4A722427" w14:textId="77777777" w:rsidR="00F75F27" w:rsidRPr="00F75F27" w:rsidRDefault="00F75F27" w:rsidP="0016519B">
      <w:pPr>
        <w:spacing w:after="220" w:line="240" w:lineRule="auto"/>
        <w:ind w:left="360"/>
        <w:rPr>
          <w:rFonts w:asciiTheme="minorBidi" w:hAnsiTheme="minorBidi"/>
          <w:noProof/>
          <w:lang w:val="nl-NL"/>
        </w:rPr>
      </w:pPr>
      <w:r w:rsidRPr="00F75F27">
        <w:rPr>
          <w:rFonts w:asciiTheme="minorBidi" w:hAnsiTheme="minorBidi"/>
          <w:noProof/>
        </w:rPr>
        <w:t xml:space="preserve">Liu, Y. et al. (2022). The N501Y spike substitution enhances SARS-CoV-2 infection and transmission. </w:t>
      </w:r>
      <w:r w:rsidRPr="00F75F27">
        <w:rPr>
          <w:rFonts w:asciiTheme="minorBidi" w:hAnsiTheme="minorBidi"/>
          <w:i/>
          <w:noProof/>
          <w:lang w:val="nl-NL"/>
        </w:rPr>
        <w:t>Nature</w:t>
      </w:r>
      <w:r w:rsidRPr="00F75F27">
        <w:rPr>
          <w:rFonts w:asciiTheme="minorBidi" w:hAnsiTheme="minorBidi"/>
          <w:noProof/>
          <w:lang w:val="nl-NL"/>
        </w:rPr>
        <w:t>, 602 (7896), pp.294–299.</w:t>
      </w:r>
    </w:p>
    <w:p w14:paraId="1A5AF647"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lang w:val="nl-NL"/>
        </w:rPr>
        <w:t xml:space="preserve">van der Maaten, L. (2008). </w:t>
      </w:r>
      <w:r w:rsidRPr="00F75F27">
        <w:rPr>
          <w:rFonts w:asciiTheme="minorBidi" w:hAnsiTheme="minorBidi"/>
          <w:i/>
          <w:noProof/>
          <w:lang w:val="nl-NL"/>
        </w:rPr>
        <w:t>Visualizing Data using t-SNE</w:t>
      </w:r>
      <w:r w:rsidRPr="00F75F27">
        <w:rPr>
          <w:rFonts w:asciiTheme="minorBidi" w:hAnsiTheme="minorBidi"/>
          <w:noProof/>
          <w:lang w:val="nl-NL"/>
        </w:rPr>
        <w:t xml:space="preserve">. </w:t>
      </w:r>
      <w:r w:rsidRPr="00F75F27">
        <w:rPr>
          <w:rFonts w:asciiTheme="minorBidi" w:hAnsiTheme="minorBidi"/>
          <w:noProof/>
        </w:rPr>
        <w:t>[Online]. Available at: https://lvdmaaten.github.io/publications/papers/JMLR_2008.pdf [Accessed 28 March 2025].</w:t>
      </w:r>
    </w:p>
    <w:p w14:paraId="500001A6"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lang w:val="da-DK"/>
        </w:rPr>
        <w:t xml:space="preserve">Marik, P. E. et al. </w:t>
      </w:r>
      <w:r w:rsidRPr="00F75F27">
        <w:rPr>
          <w:rFonts w:asciiTheme="minorBidi" w:hAnsiTheme="minorBidi"/>
          <w:noProof/>
        </w:rPr>
        <w:t xml:space="preserve">(2021). A scoping review of the pathophysiology of COVID-19. </w:t>
      </w:r>
      <w:r w:rsidRPr="00F75F27">
        <w:rPr>
          <w:rFonts w:asciiTheme="minorBidi" w:hAnsiTheme="minorBidi"/>
          <w:i/>
          <w:noProof/>
        </w:rPr>
        <w:t>International journal of immunopathology and pharmacology</w:t>
      </w:r>
      <w:r w:rsidRPr="00F75F27">
        <w:rPr>
          <w:rFonts w:asciiTheme="minorBidi" w:hAnsiTheme="minorBidi"/>
          <w:noProof/>
        </w:rPr>
        <w:t>, 35, p.20587384211048024.</w:t>
      </w:r>
    </w:p>
    <w:p w14:paraId="1341DB6C"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McCallum, M. et al. (2020). Structure-guided covalent stabilization of coronavirus spike glycoprotein trimers in the closed conformation. </w:t>
      </w:r>
      <w:r w:rsidRPr="00F75F27">
        <w:rPr>
          <w:rFonts w:asciiTheme="minorBidi" w:hAnsiTheme="minorBidi"/>
          <w:i/>
          <w:noProof/>
        </w:rPr>
        <w:t>Nature structural &amp; molecular biology</w:t>
      </w:r>
      <w:r w:rsidRPr="00F75F27">
        <w:rPr>
          <w:rFonts w:asciiTheme="minorBidi" w:hAnsiTheme="minorBidi"/>
          <w:noProof/>
        </w:rPr>
        <w:t>, 27 (10), pp.942–949. [Accessed 23 February 2025].</w:t>
      </w:r>
    </w:p>
    <w:p w14:paraId="3408BD3B"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Pyrc, K. et al. (2006). Mosaic structure of human coronavirus NL63, one thousand years of evolution. </w:t>
      </w:r>
      <w:r w:rsidRPr="00F75F27">
        <w:rPr>
          <w:rFonts w:asciiTheme="minorBidi" w:hAnsiTheme="minorBidi"/>
          <w:i/>
          <w:noProof/>
        </w:rPr>
        <w:t>Journal of molecular biology</w:t>
      </w:r>
      <w:r w:rsidRPr="00F75F27">
        <w:rPr>
          <w:rFonts w:asciiTheme="minorBidi" w:hAnsiTheme="minorBidi"/>
          <w:noProof/>
        </w:rPr>
        <w:t>, 364 (5), pp.964–973.</w:t>
      </w:r>
    </w:p>
    <w:p w14:paraId="2939EB0B"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Wang, R. et al. (2021). Analysis of SARS-CoV-2 mutations in the United States suggests presence of four substrains and novel variants. </w:t>
      </w:r>
      <w:r w:rsidRPr="00F75F27">
        <w:rPr>
          <w:rFonts w:asciiTheme="minorBidi" w:hAnsiTheme="minorBidi"/>
          <w:i/>
          <w:noProof/>
        </w:rPr>
        <w:t>Communications biology</w:t>
      </w:r>
      <w:r w:rsidRPr="00F75F27">
        <w:rPr>
          <w:rFonts w:asciiTheme="minorBidi" w:hAnsiTheme="minorBidi"/>
          <w:noProof/>
        </w:rPr>
        <w:t>, 4 (1), p.228. [Accessed 27 October 2024].</w:t>
      </w:r>
    </w:p>
    <w:p w14:paraId="09B426E7"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noProof/>
        </w:rPr>
        <w:t xml:space="preserve">Yang, H. and Rao, Z. (2021). Structural biology of SARS-CoV-2 and implications for therapeutic development. </w:t>
      </w:r>
      <w:r w:rsidRPr="00F75F27">
        <w:rPr>
          <w:rFonts w:asciiTheme="minorBidi" w:hAnsiTheme="minorBidi"/>
          <w:i/>
          <w:noProof/>
        </w:rPr>
        <w:t>Nature reviews. Microbiology</w:t>
      </w:r>
      <w:r w:rsidRPr="00F75F27">
        <w:rPr>
          <w:rFonts w:asciiTheme="minorBidi" w:hAnsiTheme="minorBidi"/>
          <w:noProof/>
        </w:rPr>
        <w:t>, 19 (11), pp.685–700. [Accessed 21 February 2025].</w:t>
      </w:r>
    </w:p>
    <w:p w14:paraId="084C8548" w14:textId="77777777" w:rsidR="00F75F27" w:rsidRPr="00F75F27" w:rsidRDefault="00F75F27" w:rsidP="0016519B">
      <w:pPr>
        <w:spacing w:after="220" w:line="240" w:lineRule="auto"/>
        <w:ind w:left="360"/>
        <w:rPr>
          <w:rFonts w:asciiTheme="minorBidi" w:hAnsiTheme="minorBidi"/>
          <w:noProof/>
        </w:rPr>
      </w:pPr>
      <w:r w:rsidRPr="00F75F27">
        <w:rPr>
          <w:rFonts w:asciiTheme="minorBidi" w:hAnsiTheme="minorBidi"/>
          <w:i/>
          <w:noProof/>
        </w:rPr>
        <w:t>COVID-19 cases</w:t>
      </w:r>
      <w:r w:rsidRPr="00F75F27">
        <w:rPr>
          <w:rFonts w:asciiTheme="minorBidi" w:hAnsiTheme="minorBidi"/>
          <w:noProof/>
        </w:rPr>
        <w:t>. [Online]. datadot. Available at: https://data.who.int/dashboards/covid19/cases?n=c [Accessed 21 February 2025a].</w:t>
      </w:r>
    </w:p>
    <w:p w14:paraId="5F470A83" w14:textId="2D1667CD" w:rsidR="00366BC7" w:rsidRPr="0016519B" w:rsidRDefault="00F75F27" w:rsidP="0016519B">
      <w:pPr>
        <w:spacing w:after="220" w:line="240" w:lineRule="auto"/>
        <w:ind w:left="360"/>
        <w:rPr>
          <w:rFonts w:asciiTheme="minorBidi" w:hAnsiTheme="minorBidi"/>
        </w:rPr>
      </w:pPr>
      <w:r w:rsidRPr="00F75F27">
        <w:rPr>
          <w:rFonts w:asciiTheme="minorBidi" w:hAnsiTheme="minorBidi"/>
          <w:i/>
          <w:noProof/>
        </w:rPr>
        <w:lastRenderedPageBreak/>
        <w:t>Estimated cumulative excess deaths during COVID-19</w:t>
      </w:r>
      <w:r w:rsidRPr="00F75F27">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165394">
    <w:abstractNumId w:val="8"/>
  </w:num>
  <w:num w:numId="2" w16cid:durableId="1810242201">
    <w:abstractNumId w:val="4"/>
  </w:num>
  <w:num w:numId="3" w16cid:durableId="1118256931">
    <w:abstractNumId w:val="5"/>
  </w:num>
  <w:num w:numId="4" w16cid:durableId="1332221283">
    <w:abstractNumId w:val="14"/>
  </w:num>
  <w:num w:numId="5" w16cid:durableId="826357618">
    <w:abstractNumId w:val="15"/>
  </w:num>
  <w:num w:numId="6" w16cid:durableId="2146190035">
    <w:abstractNumId w:val="1"/>
  </w:num>
  <w:num w:numId="7" w16cid:durableId="1657344781">
    <w:abstractNumId w:val="17"/>
  </w:num>
  <w:num w:numId="8" w16cid:durableId="1625233266">
    <w:abstractNumId w:val="0"/>
  </w:num>
  <w:num w:numId="9" w16cid:durableId="1752968086">
    <w:abstractNumId w:val="18"/>
  </w:num>
  <w:num w:numId="10" w16cid:durableId="255020037">
    <w:abstractNumId w:val="9"/>
  </w:num>
  <w:num w:numId="11" w16cid:durableId="1838812290">
    <w:abstractNumId w:val="3"/>
  </w:num>
  <w:num w:numId="12" w16cid:durableId="920869766">
    <w:abstractNumId w:val="16"/>
  </w:num>
  <w:num w:numId="13" w16cid:durableId="558253437">
    <w:abstractNumId w:val="7"/>
  </w:num>
  <w:num w:numId="14" w16cid:durableId="1841848429">
    <w:abstractNumId w:val="2"/>
  </w:num>
  <w:num w:numId="15" w16cid:durableId="868227828">
    <w:abstractNumId w:val="12"/>
  </w:num>
  <w:num w:numId="16" w16cid:durableId="975329850">
    <w:abstractNumId w:val="13"/>
  </w:num>
  <w:num w:numId="17" w16cid:durableId="1299073878">
    <w:abstractNumId w:val="6"/>
  </w:num>
  <w:num w:numId="18" w16cid:durableId="79378651">
    <w:abstractNumId w:val="11"/>
  </w:num>
  <w:num w:numId="19" w16cid:durableId="3882356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E0B01"/>
    <w:rsid w:val="000E15F8"/>
    <w:rsid w:val="000E3B7A"/>
    <w:rsid w:val="000E3E9E"/>
    <w:rsid w:val="000E5AF3"/>
    <w:rsid w:val="000F6F0C"/>
    <w:rsid w:val="001003CF"/>
    <w:rsid w:val="00103AF4"/>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809"/>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1F2"/>
    <w:rsid w:val="003539CC"/>
    <w:rsid w:val="003570AB"/>
    <w:rsid w:val="00360C5C"/>
    <w:rsid w:val="00361441"/>
    <w:rsid w:val="0036270E"/>
    <w:rsid w:val="003627A6"/>
    <w:rsid w:val="00365D6D"/>
    <w:rsid w:val="00366BC7"/>
    <w:rsid w:val="00367058"/>
    <w:rsid w:val="003673FE"/>
    <w:rsid w:val="0037125A"/>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3295"/>
    <w:rsid w:val="00533F4F"/>
    <w:rsid w:val="0053663C"/>
    <w:rsid w:val="0054530E"/>
    <w:rsid w:val="005471F7"/>
    <w:rsid w:val="00547669"/>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84F77"/>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2986"/>
    <w:rsid w:val="005F4E58"/>
    <w:rsid w:val="005F6111"/>
    <w:rsid w:val="00607DAA"/>
    <w:rsid w:val="006157F6"/>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3A8E"/>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3E83"/>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27F99"/>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07"/>
    <w:rsid w:val="00F54E2B"/>
    <w:rsid w:val="00F574A5"/>
    <w:rsid w:val="00F60A13"/>
    <w:rsid w:val="00F61090"/>
    <w:rsid w:val="00F61B3B"/>
    <w:rsid w:val="00F63011"/>
    <w:rsid w:val="00F639EB"/>
    <w:rsid w:val="00F64F0A"/>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11231</Words>
  <Characters>65478</Characters>
  <Application>Microsoft Office Word</Application>
  <DocSecurity>0</DocSecurity>
  <Lines>1212</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1114</cp:revision>
  <cp:lastPrinted>2025-03-17T16:45:00Z</cp:lastPrinted>
  <dcterms:created xsi:type="dcterms:W3CDTF">2025-01-28T14:19:00Z</dcterms:created>
  <dcterms:modified xsi:type="dcterms:W3CDTF">2025-03-28T19:48:00Z</dcterms:modified>
</cp:coreProperties>
</file>