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25F1F016"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rates</w:t>
      </w:r>
      <w:r w:rsidR="001977A8">
        <w:rPr>
          <w:rFonts w:asciiTheme="minorBidi" w:hAnsiTheme="minorBidi"/>
        </w:rPr>
        <w:t xml:space="preserve"> </w:t>
      </w:r>
      <w:r w:rsidR="001977A8">
        <w:rPr>
          <w:rFonts w:asciiTheme="minorBidi" w:hAnsiTheme="minorBidi"/>
        </w:rPr>
        <w:fldChar w:fldCharType="begin" w:fldLock="1"/>
      </w:r>
      <w:r w:rsidR="001977A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1977A8">
        <w:rPr>
          <w:rFonts w:asciiTheme="minorBidi" w:hAnsiTheme="minorBidi"/>
        </w:rPr>
        <w:fldChar w:fldCharType="separate"/>
      </w:r>
      <w:r w:rsidR="001977A8">
        <w:rPr>
          <w:rFonts w:asciiTheme="minorBidi" w:hAnsiTheme="minorBidi"/>
          <w:noProof/>
        </w:rPr>
        <w:t>(Major et al.)</w:t>
      </w:r>
      <w:r w:rsidR="001977A8">
        <w:rPr>
          <w:rFonts w:asciiTheme="minorBidi" w:hAnsiTheme="minorBidi"/>
        </w:rPr>
        <w:fldChar w:fldCharType="end"/>
      </w:r>
      <w:r w:rsidR="00051576">
        <w:rPr>
          <w:rFonts w:asciiTheme="minorBidi" w:hAnsiTheme="minorBidi"/>
        </w:rPr>
        <w:t>.</w:t>
      </w:r>
    </w:p>
    <w:p w14:paraId="4381AD1A" w14:textId="1242066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(CoVs)</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CoVs,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 xml:space="preserve">-CoV)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MERS-CoV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t xml:space="preserve">Coronaviruses are of the order Nidovirales,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r w:rsidR="00DC7266">
        <w:rPr>
          <w:rFonts w:asciiTheme="minorBidi" w:hAnsiTheme="minorBidi"/>
        </w:rPr>
        <w:t xml:space="preserve">CoVs are </w:t>
      </w:r>
      <w:r w:rsidR="007E3041">
        <w:rPr>
          <w:rFonts w:asciiTheme="minorBidi" w:hAnsiTheme="minorBidi"/>
        </w:rPr>
        <w:t xml:space="preserve">enveloped positive-sense single-stranded </w:t>
      </w:r>
      <w:r w:rsidR="006A641D">
        <w:rPr>
          <w:rFonts w:asciiTheme="minorBidi" w:hAnsiTheme="minorBidi"/>
        </w:rPr>
        <w:t xml:space="preserve">RNA </w:t>
      </w:r>
      <w:r w:rsidR="006A641D">
        <w:rPr>
          <w:rFonts w:asciiTheme="minorBidi" w:hAnsiTheme="minorBidi"/>
        </w:rPr>
        <w:lastRenderedPageBreak/>
        <w:t>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CoVs</w:t>
      </w:r>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43705C49" w14:textId="2A464708" w:rsidR="00B764CA" w:rsidRPr="00222757" w:rsidRDefault="00165932" w:rsidP="00B764CA">
      <w:pPr>
        <w:spacing w:after="240"/>
        <w:rPr>
          <w:rFonts w:asciiTheme="minorBidi" w:hAnsiTheme="minorBidi"/>
        </w:rPr>
      </w:pPr>
      <w:r>
        <w:rPr>
          <w:rFonts w:asciiTheme="minorBidi" w:hAnsiTheme="minorBidi"/>
        </w:rPr>
        <w:t>Spike mutations that have affected viral infectivity</w:t>
      </w:r>
      <w:r w:rsidR="00B764CA">
        <w:rPr>
          <w:rFonts w:asciiTheme="minorBidi" w:hAnsiTheme="minorBidi"/>
        </w:rPr>
        <w:t xml:space="preserve">? </w:t>
      </w:r>
      <w:r w:rsidR="00B764CA" w:rsidRPr="00B764CA">
        <w:rPr>
          <w:rFonts w:asciiTheme="minorBidi" w:hAnsiTheme="minorBidi"/>
        </w:rPr>
        <w:t>D614G, N501Y</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7E4D8E44" w14:textId="29CEECBC" w:rsidR="008808E5" w:rsidRDefault="00B8524D" w:rsidP="00F31CEC">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FD3929">
        <w:rPr>
          <w:rFonts w:asciiTheme="minorBidi" w:hAnsiTheme="minorBidi"/>
        </w:rPr>
        <w:t xml:space="preserve"> </w:t>
      </w:r>
      <w:r w:rsidR="000B73F6">
        <w:rPr>
          <w:rFonts w:asciiTheme="minorBidi" w:hAnsiTheme="minorBidi"/>
        </w:rPr>
        <w:t>This study aimed</w:t>
      </w:r>
      <w:r w:rsidR="00441D8C">
        <w:rPr>
          <w:rFonts w:asciiTheme="minorBidi" w:hAnsiTheme="minorBidi"/>
        </w:rPr>
        <w:t xml:space="preserve"> to assess the </w:t>
      </w:r>
      <w:r w:rsidR="007A187D">
        <w:rPr>
          <w:rFonts w:asciiTheme="minorBidi" w:hAnsiTheme="minorBidi"/>
        </w:rPr>
        <w:t>general</w:t>
      </w:r>
      <w:r w:rsidR="00441D8C">
        <w:rPr>
          <w:rFonts w:asciiTheme="minorBidi" w:hAnsiTheme="minorBidi"/>
        </w:rPr>
        <w:t xml:space="preserve"> dataset</w:t>
      </w:r>
      <w:r w:rsidR="007A187D">
        <w:rPr>
          <w:rFonts w:asciiTheme="minorBidi" w:hAnsiTheme="minorBidi"/>
        </w:rPr>
        <w:t xml:space="preserve">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E4638E" w:rsidRPr="00E4638E">
        <w:rPr>
          <w:rFonts w:asciiTheme="minorBidi" w:hAnsiTheme="minorBidi"/>
        </w:rPr>
        <w:t>Clustering and distribution analysis were performed to classify SARS-CoV-2 spike protein mutations based on sequence</w:t>
      </w:r>
      <w:r w:rsidR="00E4638E">
        <w:rPr>
          <w:rFonts w:asciiTheme="minorBidi" w:hAnsiTheme="minorBidi"/>
        </w:rPr>
        <w:t xml:space="preserve"> and track the geographical distribution of the </w:t>
      </w:r>
      <w:r w:rsidR="00FD3929">
        <w:rPr>
          <w:rFonts w:asciiTheme="minorBidi" w:hAnsiTheme="minorBidi"/>
        </w:rPr>
        <w:t>virus strains</w:t>
      </w:r>
      <w:r w:rsidR="004E0FAF">
        <w:rPr>
          <w:rFonts w:asciiTheme="minorBidi" w:hAnsiTheme="minorBidi"/>
        </w:rPr>
        <w:t xml:space="preserve">. </w:t>
      </w:r>
      <w:r w:rsidR="003C5B4F">
        <w:rPr>
          <w:rFonts w:asciiTheme="minorBidi" w:hAnsiTheme="minorBidi"/>
        </w:rPr>
        <w:t xml:space="preserve">Further analysis </w:t>
      </w:r>
      <w:r w:rsidR="00FD3929">
        <w:rPr>
          <w:rFonts w:asciiTheme="minorBidi" w:hAnsiTheme="minorBidi"/>
        </w:rPr>
        <w:t xml:space="preserve">focused on </w:t>
      </w:r>
      <w:r w:rsidR="00ED55B7">
        <w:rPr>
          <w:rFonts w:asciiTheme="minorBidi" w:hAnsiTheme="minorBidi"/>
        </w:rPr>
        <w:t>characteris</w:t>
      </w:r>
      <w:r w:rsidR="00FD3929">
        <w:rPr>
          <w:rFonts w:asciiTheme="minorBidi" w:hAnsiTheme="minorBidi"/>
        </w:rPr>
        <w:t>ing</w:t>
      </w:r>
      <w:r w:rsidR="00ED55B7">
        <w:rPr>
          <w:rFonts w:asciiTheme="minorBidi" w:hAnsiTheme="minorBidi"/>
        </w:rPr>
        <w:t xml:space="preserv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8808E5">
        <w:rPr>
          <w:rFonts w:asciiTheme="minorBidi" w:hAnsiTheme="minorBidi"/>
        </w:rPr>
        <w:t xml:space="preserve"> </w:t>
      </w:r>
      <w:r w:rsidR="00C355AB">
        <w:rPr>
          <w:rFonts w:asciiTheme="minorBidi" w:hAnsiTheme="minorBidi"/>
        </w:rPr>
        <w:t xml:space="preserve">With a particular </w:t>
      </w:r>
      <w:r w:rsidR="008808E5">
        <w:rPr>
          <w:rFonts w:asciiTheme="minorBidi" w:hAnsiTheme="minorBidi"/>
        </w:rPr>
        <w:t xml:space="preserve">interest in </w:t>
      </w:r>
      <w:r w:rsidR="00F471EB">
        <w:rPr>
          <w:rFonts w:asciiTheme="minorBidi" w:hAnsiTheme="minorBidi"/>
        </w:rPr>
        <w:t>distin</w:t>
      </w:r>
      <w:r w:rsidR="002C1DEE">
        <w:rPr>
          <w:rFonts w:asciiTheme="minorBidi" w:hAnsiTheme="minorBidi"/>
        </w:rPr>
        <w:t>guishing between synonymous and non-synonymous</w:t>
      </w:r>
      <w:r w:rsidR="008808E5">
        <w:rPr>
          <w:rFonts w:asciiTheme="minorBidi" w:hAnsiTheme="minorBidi"/>
        </w:rPr>
        <w:t>, to assess their implications</w:t>
      </w:r>
      <w:r w:rsidR="004B15AC">
        <w:rPr>
          <w:rFonts w:asciiTheme="minorBidi" w:hAnsiTheme="minorBidi"/>
        </w:rPr>
        <w:t xml:space="preserve">. </w:t>
      </w:r>
      <w:r w:rsidR="008808E5">
        <w:rPr>
          <w:rFonts w:asciiTheme="minorBidi" w:hAnsiTheme="minorBidi"/>
        </w:rPr>
        <w:t xml:space="preserve">The potential effects of the most common mutations </w:t>
      </w:r>
      <w:r w:rsidR="003B1A36">
        <w:rPr>
          <w:rFonts w:asciiTheme="minorBidi" w:hAnsiTheme="minorBidi"/>
        </w:rPr>
        <w:t>on viral infectivity</w:t>
      </w:r>
      <w:r w:rsidR="00CE5ED6">
        <w:rPr>
          <w:rFonts w:asciiTheme="minorBidi" w:hAnsiTheme="minorBidi"/>
        </w:rPr>
        <w:t xml:space="preserve"> have also been considered</w:t>
      </w:r>
      <w:r w:rsidR="00C924C0">
        <w:rPr>
          <w:rFonts w:asciiTheme="minorBidi" w:hAnsiTheme="minorBidi"/>
        </w:rPr>
        <w:t>. Outlining their location within the receptor binding domain</w:t>
      </w:r>
      <w:r w:rsidR="00C55A43">
        <w:rPr>
          <w:rFonts w:asciiTheme="minorBidi" w:hAnsiTheme="minorBidi"/>
        </w:rPr>
        <w:t xml:space="preserve"> (RBD)</w:t>
      </w:r>
      <w:r w:rsidR="00C924C0">
        <w:rPr>
          <w:rFonts w:asciiTheme="minorBidi" w:hAnsiTheme="minorBidi"/>
        </w:rPr>
        <w:t xml:space="preserve"> and receptor b</w:t>
      </w:r>
      <w:r w:rsidR="00C55A43">
        <w:rPr>
          <w:rFonts w:asciiTheme="minorBidi" w:hAnsiTheme="minorBidi"/>
        </w:rPr>
        <w:t xml:space="preserve">inding motif (RBM), to understand </w:t>
      </w:r>
      <w:r w:rsidR="00262F92">
        <w:rPr>
          <w:rFonts w:asciiTheme="minorBidi" w:hAnsiTheme="minorBidi"/>
        </w:rPr>
        <w:t xml:space="preserve">the impact on protein functionality </w:t>
      </w:r>
      <w:r w:rsidR="00F31CEC">
        <w:rPr>
          <w:rFonts w:asciiTheme="minorBidi" w:hAnsiTheme="minorBidi"/>
        </w:rPr>
        <w:t>following mutations at these vital residues.</w:t>
      </w:r>
      <w:r w:rsidR="00625675">
        <w:rPr>
          <w:rFonts w:asciiTheme="minorBidi" w:hAnsiTheme="minorBidi"/>
        </w:rPr>
        <w:t xml:space="preserve"> </w:t>
      </w:r>
      <w:r w:rsidR="00CB2964">
        <w:rPr>
          <w:rFonts w:asciiTheme="minorBidi" w:hAnsiTheme="minorBidi"/>
        </w:rPr>
        <w:t xml:space="preserve">The study looks to provide an insight into the </w:t>
      </w:r>
      <w:r w:rsidR="00851BA0">
        <w:rPr>
          <w:rFonts w:asciiTheme="minorBidi" w:hAnsiTheme="minorBidi"/>
        </w:rPr>
        <w:t>trends of SARS-CoV-2 spike glycoprotein mutations in the UK</w:t>
      </w:r>
      <w:r w:rsidR="00645763">
        <w:rPr>
          <w:rFonts w:asciiTheme="minorBidi" w:hAnsiTheme="minorBidi"/>
        </w:rPr>
        <w:t xml:space="preserve"> </w:t>
      </w:r>
      <w:r w:rsidR="0083348E">
        <w:rPr>
          <w:rFonts w:asciiTheme="minorBidi" w:hAnsiTheme="minorBidi"/>
        </w:rPr>
        <w:t xml:space="preserve">and to elucidate </w:t>
      </w:r>
      <w:r w:rsidR="007903D7">
        <w:rPr>
          <w:rFonts w:asciiTheme="minorBidi" w:hAnsiTheme="minorBidi"/>
        </w:rPr>
        <w:t>changes in viral infectivity.</w:t>
      </w:r>
    </w:p>
    <w:p w14:paraId="20662387" w14:textId="02A01EE7"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w:t>
      </w:r>
      <w:r w:rsidR="006B45DB" w:rsidRPr="001C7758">
        <w:rPr>
          <w:rFonts w:asciiTheme="minorBidi" w:hAnsiTheme="minorBidi"/>
          <w:b/>
          <w:bCs/>
        </w:rPr>
        <w:t xml:space="preserve"> </w:t>
      </w:r>
      <w:r w:rsidR="001C7758" w:rsidRPr="001C7758">
        <w:rPr>
          <w:rFonts w:asciiTheme="minorBidi" w:hAnsiTheme="minorBidi"/>
          <w:b/>
          <w:bCs/>
        </w:rPr>
        <w:t>dataset</w:t>
      </w:r>
      <w:r w:rsidR="005D1287">
        <w:rPr>
          <w:rFonts w:asciiTheme="minorBidi" w:hAnsiTheme="minorBidi"/>
          <w:b/>
          <w:bCs/>
        </w:rPr>
        <w:t xml:space="preserve"> trends</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Identify and characterise common spike mutations + non vs syn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2AB48C7D" w:rsidR="001D0A3B" w:rsidRPr="00890837" w:rsidRDefault="0074476B" w:rsidP="00092A60">
      <w:pPr>
        <w:spacing w:after="240" w:line="240" w:lineRule="auto"/>
        <w:rPr>
          <w:rFonts w:asciiTheme="minorBidi" w:hAnsiTheme="minorBidi"/>
        </w:rPr>
      </w:pPr>
      <w:r>
        <w:rPr>
          <w:rFonts w:asciiTheme="minorBidi" w:hAnsiTheme="minorBidi"/>
        </w:rPr>
        <w:t>Dataset used was provided by Dr Richard J Bingham</w:t>
      </w:r>
      <w:r w:rsidR="00DA6955">
        <w:rPr>
          <w:rFonts w:asciiTheme="minorBidi" w:hAnsiTheme="minorBidi"/>
        </w:rPr>
        <w:t xml:space="preserve">, at the University of York, which was obtained from GISAID. </w:t>
      </w:r>
      <w:r w:rsidR="00DE335C">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including the tidyverse</w:t>
      </w:r>
      <w:r w:rsidR="00AA6804">
        <w:rPr>
          <w:rFonts w:asciiTheme="minorBidi" w:hAnsiTheme="minorBidi"/>
        </w:rPr>
        <w:t xml:space="preserve"> and ggplot</w:t>
      </w:r>
      <w:r w:rsidR="00EE2703">
        <w:rPr>
          <w:rFonts w:asciiTheme="minorBidi" w:hAnsiTheme="minorBidi"/>
        </w:rPr>
        <w:t>, which provided the basis for the majority of the R analysis.</w:t>
      </w:r>
      <w:r w:rsidR="00B04D20">
        <w:rPr>
          <w:rFonts w:asciiTheme="minorBidi" w:hAnsiTheme="minorBidi"/>
        </w:rPr>
        <w:t xml:space="preserve"> Git, GitHub and Visual Studio Code</w:t>
      </w:r>
      <w:r w:rsidR="00AC04B2">
        <w:rPr>
          <w:rFonts w:asciiTheme="minorBidi" w:hAnsiTheme="minorBidi"/>
        </w:rPr>
        <w:t xml:space="preserve"> were used alongside each to </w:t>
      </w:r>
      <w:r w:rsidR="00AC04B2">
        <w:rPr>
          <w:rFonts w:asciiTheme="minorBidi" w:hAnsiTheme="minorBidi"/>
        </w:rPr>
        <w:lastRenderedPageBreak/>
        <w:t>create the research compendium.</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r w:rsidR="00B85336">
        <w:rPr>
          <w:rFonts w:asciiTheme="minorBidi" w:hAnsiTheme="minorBidi"/>
        </w:rPr>
        <w:t xml:space="preserve"> </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451E18F6"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E5A36D8" w:rsidR="00874CA1" w:rsidRDefault="00FA758E" w:rsidP="00342052">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 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54B8B8EA" w:rsidR="004072AD" w:rsidRDefault="007659BD" w:rsidP="004072AD">
      <w:pPr>
        <w:spacing w:after="240" w:line="240" w:lineRule="auto"/>
        <w:rPr>
          <w:rFonts w:asciiTheme="minorBidi" w:hAnsiTheme="minorBidi"/>
        </w:rPr>
      </w:pPr>
      <w:r w:rsidRPr="007659BD">
        <w:rPr>
          <w:rFonts w:asciiTheme="minorBidi" w:hAnsiTheme="minorBidi"/>
          <w:noProof/>
        </w:rPr>
        <w:drawing>
          <wp:inline distT="0" distB="0" distL="0" distR="0" wp14:anchorId="7A5FDBB7" wp14:editId="5CCBEB3D">
            <wp:extent cx="5731510" cy="3303270"/>
            <wp:effectExtent l="0" t="0" r="2540" b="0"/>
            <wp:docPr id="1129680735"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0735" name="Picture 1" descr="A graph of different colored squares&#10;&#10;AI-generated content may be incorrect."/>
                    <pic:cNvPicPr/>
                  </pic:nvPicPr>
                  <pic:blipFill>
                    <a:blip r:embed="rId7"/>
                    <a:stretch>
                      <a:fillRect/>
                    </a:stretch>
                  </pic:blipFill>
                  <pic:spPr>
                    <a:xfrm>
                      <a:off x="0" y="0"/>
                      <a:ext cx="5731510" cy="3303270"/>
                    </a:xfrm>
                    <a:prstGeom prst="rect">
                      <a:avLst/>
                    </a:prstGeom>
                  </pic:spPr>
                </pic:pic>
              </a:graphicData>
            </a:graphic>
          </wp:inline>
        </w:drawing>
      </w:r>
      <w:r w:rsidR="00D80B2C">
        <w:rPr>
          <w:rFonts w:asciiTheme="minorBidi" w:hAnsiTheme="minorBidi"/>
        </w:rPr>
        <w:t xml:space="preserve"> </w:t>
      </w:r>
    </w:p>
    <w:p w14:paraId="08EFAFD2" w14:textId="171B61D7" w:rsidR="0025629E" w:rsidRDefault="0025629E" w:rsidP="00FA2303">
      <w:pPr>
        <w:spacing w:after="240" w:line="240" w:lineRule="auto"/>
        <w:rPr>
          <w:rFonts w:asciiTheme="minorBidi" w:hAnsiTheme="minorBidi"/>
        </w:rPr>
      </w:pPr>
      <w:r>
        <w:rPr>
          <w:rFonts w:asciiTheme="minorBidi" w:hAnsiTheme="minorBidi"/>
        </w:rPr>
        <w:t>15213 unique individual mutations were detected in the dataset</w:t>
      </w:r>
      <w:r w:rsidR="00A82A20">
        <w:rPr>
          <w:rFonts w:asciiTheme="minorBidi" w:hAnsiTheme="minorBidi"/>
        </w:rPr>
        <w:t>.</w:t>
      </w:r>
      <w:r w:rsidR="00111090">
        <w:rPr>
          <w:rFonts w:asciiTheme="minorBidi" w:hAnsiTheme="minorBidi"/>
        </w:rPr>
        <w:t xml:space="preserve"> </w:t>
      </w:r>
      <w:r w:rsidR="00482FA2">
        <w:rPr>
          <w:rFonts w:asciiTheme="minorBidi" w:hAnsiTheme="minorBidi"/>
        </w:rPr>
        <w:t>The distribution of these</w:t>
      </w:r>
      <w:r w:rsidR="00AC3F98">
        <w:rPr>
          <w:rFonts w:asciiTheme="minorBidi" w:hAnsiTheme="minorBidi"/>
        </w:rPr>
        <w:t xml:space="preserve"> novel mutations provides a insight into the </w:t>
      </w:r>
      <w:r w:rsidR="00D36FC6">
        <w:rPr>
          <w:rFonts w:asciiTheme="minorBidi" w:hAnsiTheme="minorBidi"/>
        </w:rPr>
        <w:t xml:space="preserve">emergence of new viral strains and </w:t>
      </w:r>
      <w:r w:rsidR="008070E1">
        <w:rPr>
          <w:rFonts w:asciiTheme="minorBidi" w:hAnsiTheme="minorBidi"/>
        </w:rPr>
        <w:t xml:space="preserve">stability of the viral genome. </w:t>
      </w:r>
      <w:r w:rsidR="00CF6299">
        <w:rPr>
          <w:rFonts w:asciiTheme="minorBidi" w:hAnsiTheme="minorBidi"/>
        </w:rPr>
        <w:t xml:space="preserve">Figure 3, depicts the emergence of novel SARS-CoV-2 spike protein mutations from 2020 – 2024. </w:t>
      </w:r>
      <w:r w:rsidR="00AB7B6C">
        <w:rPr>
          <w:rFonts w:asciiTheme="minorBidi" w:hAnsiTheme="minorBidi"/>
        </w:rPr>
        <w:t>During 2021 – 2022, there was a surge in the number of novel mutations</w:t>
      </w:r>
      <w:r w:rsidR="005274C2">
        <w:rPr>
          <w:rFonts w:asciiTheme="minorBidi" w:hAnsiTheme="minorBidi"/>
        </w:rPr>
        <w:t xml:space="preserve">, </w:t>
      </w:r>
      <w:r w:rsidR="00B916E7">
        <w:rPr>
          <w:rFonts w:asciiTheme="minorBidi" w:hAnsiTheme="minorBidi"/>
        </w:rPr>
        <w:t xml:space="preserve">potentially driven by the virus </w:t>
      </w:r>
      <w:r w:rsidR="001B777A">
        <w:rPr>
          <w:rFonts w:asciiTheme="minorBidi" w:hAnsiTheme="minorBidi"/>
        </w:rPr>
        <w:t>obtaining</w:t>
      </w:r>
      <w:r w:rsidR="0077147C">
        <w:rPr>
          <w:rFonts w:asciiTheme="minorBidi" w:hAnsiTheme="minorBidi"/>
        </w:rPr>
        <w:t xml:space="preserve"> advantageous</w:t>
      </w:r>
      <w:r w:rsidR="001B777A">
        <w:rPr>
          <w:rFonts w:asciiTheme="minorBidi" w:hAnsiTheme="minorBidi"/>
        </w:rPr>
        <w:t xml:space="preserve"> mutations</w:t>
      </w:r>
      <w:r w:rsidR="00AB7B6C">
        <w:rPr>
          <w:rFonts w:asciiTheme="minorBidi" w:hAnsiTheme="minorBidi"/>
        </w:rPr>
        <w:t>.</w:t>
      </w:r>
      <w:r w:rsidR="00FE083C">
        <w:rPr>
          <w:rFonts w:asciiTheme="minorBidi" w:hAnsiTheme="minorBidi"/>
        </w:rPr>
        <w:t xml:space="preserve"> 2022- 2024 shows a gradual decline and stabilisation in the number of novel mutations detected.</w:t>
      </w:r>
      <w:r w:rsidR="00025DB5">
        <w:rPr>
          <w:rFonts w:asciiTheme="minorBidi" w:hAnsiTheme="minorBidi"/>
        </w:rPr>
        <w:t xml:space="preserve"> This decrease could be attributed </w:t>
      </w:r>
      <w:r w:rsidR="00964C74">
        <w:rPr>
          <w:rFonts w:asciiTheme="minorBidi" w:hAnsiTheme="minorBidi"/>
        </w:rPr>
        <w:t xml:space="preserve">to vaccines and a general </w:t>
      </w:r>
      <w:r w:rsidR="00BA4E32">
        <w:rPr>
          <w:rFonts w:asciiTheme="minorBidi" w:hAnsiTheme="minorBidi"/>
        </w:rPr>
        <w:t xml:space="preserve">reduction in </w:t>
      </w:r>
      <w:r w:rsidR="00964C74">
        <w:rPr>
          <w:rFonts w:asciiTheme="minorBidi" w:hAnsiTheme="minorBidi"/>
        </w:rPr>
        <w:t>SARS-CoV-2 genome sequencing.</w:t>
      </w:r>
      <w:r w:rsidR="00FA2303">
        <w:rPr>
          <w:rFonts w:asciiTheme="minorBidi" w:hAnsiTheme="minorBidi"/>
        </w:rPr>
        <w:t xml:space="preserve"> </w:t>
      </w:r>
      <w:r w:rsidR="00DA6EDF">
        <w:rPr>
          <w:rFonts w:asciiTheme="minorBidi" w:hAnsiTheme="minorBidi"/>
        </w:rPr>
        <w:t xml:space="preserve">The overall distribution of the data points closely resembles </w:t>
      </w:r>
      <w:r w:rsidR="008C68FE">
        <w:rPr>
          <w:rFonts w:asciiTheme="minorBidi" w:hAnsiTheme="minorBidi"/>
        </w:rPr>
        <w:t>Figure 1</w:t>
      </w:r>
      <w:r w:rsidR="009E20E5">
        <w:rPr>
          <w:rFonts w:asciiTheme="minorBidi" w:hAnsiTheme="minorBidi"/>
        </w:rPr>
        <w:t xml:space="preserve">. </w:t>
      </w:r>
      <w:r w:rsidR="00020AA1">
        <w:rPr>
          <w:rFonts w:asciiTheme="minorBidi" w:hAnsiTheme="minorBidi"/>
        </w:rPr>
        <w:t xml:space="preserve">This similarity is </w:t>
      </w:r>
      <w:r w:rsidR="00BC4C0A">
        <w:rPr>
          <w:rFonts w:asciiTheme="minorBidi" w:hAnsiTheme="minorBidi"/>
        </w:rPr>
        <w:t>as a result o</w:t>
      </w:r>
      <w:r w:rsidR="00B87F73">
        <w:rPr>
          <w:rFonts w:asciiTheme="minorBidi" w:hAnsiTheme="minorBidi"/>
        </w:rPr>
        <w:t xml:space="preserve">f </w:t>
      </w:r>
      <w:r w:rsidR="004534A5">
        <w:rPr>
          <w:rFonts w:asciiTheme="minorBidi" w:hAnsiTheme="minorBidi"/>
        </w:rPr>
        <w:t xml:space="preserve">variant emergence </w:t>
      </w:r>
      <w:r w:rsidR="000D5389">
        <w:rPr>
          <w:rFonts w:asciiTheme="minorBidi" w:hAnsiTheme="minorBidi"/>
        </w:rPr>
        <w:t xml:space="preserve">and </w:t>
      </w:r>
      <w:r w:rsidR="004534A5">
        <w:rPr>
          <w:rFonts w:asciiTheme="minorBidi" w:hAnsiTheme="minorBidi"/>
        </w:rPr>
        <w:t>sequencing activity</w:t>
      </w:r>
      <w:r w:rsidR="00E4025C">
        <w:rPr>
          <w:rFonts w:asciiTheme="minorBidi" w:hAnsiTheme="minorBidi"/>
        </w:rPr>
        <w:t>.</w:t>
      </w:r>
      <w:r w:rsidR="000E3E9E">
        <w:rPr>
          <w:rFonts w:asciiTheme="minorBidi" w:hAnsiTheme="minorBidi"/>
        </w:rPr>
        <w:t xml:space="preserve"> When a new variant is detected, sequencing activity increases</w:t>
      </w:r>
      <w:r w:rsidR="00CD6BC0">
        <w:rPr>
          <w:rFonts w:asciiTheme="minorBidi" w:hAnsiTheme="minorBidi"/>
        </w:rPr>
        <w:t>, causing the number of novel mutations detected to also increase.</w:t>
      </w:r>
      <w:r w:rsidR="008D4E98">
        <w:rPr>
          <w:rFonts w:asciiTheme="minorBidi" w:hAnsiTheme="minorBidi"/>
        </w:rPr>
        <w:t xml:space="preserve"> </w:t>
      </w:r>
      <w:r w:rsidR="00FA2303">
        <w:rPr>
          <w:rFonts w:asciiTheme="minorBidi" w:hAnsiTheme="minorBidi"/>
        </w:rPr>
        <w:t xml:space="preserve">New variants with all these </w:t>
      </w:r>
      <w:r w:rsidR="0016379D">
        <w:rPr>
          <w:rFonts w:asciiTheme="minorBidi" w:hAnsiTheme="minorBidi"/>
        </w:rPr>
        <w:t>novel advantageous</w:t>
      </w:r>
      <w:r w:rsidR="00FA2303">
        <w:rPr>
          <w:rFonts w:asciiTheme="minorBidi" w:hAnsiTheme="minorBidi"/>
        </w:rPr>
        <w:t xml:space="preserve"> mutations are outcompeting the older variants. Increased genomic sequencing efforts detect these novel mutations, to characterise the newly adapted viral variants.</w:t>
      </w:r>
    </w:p>
    <w:p w14:paraId="375E0830" w14:textId="77777777" w:rsidR="005303BA" w:rsidRDefault="007D50DB" w:rsidP="005303BA">
      <w:pPr>
        <w:spacing w:after="240" w:line="240" w:lineRule="auto"/>
        <w:rPr>
          <w:rFonts w:asciiTheme="minorBidi" w:hAnsiTheme="minorBidi"/>
          <w:b/>
          <w:bCs/>
        </w:rPr>
      </w:pPr>
      <w:r w:rsidRPr="007D50DB">
        <w:rPr>
          <w:rFonts w:asciiTheme="minorBidi" w:hAnsiTheme="minorBidi"/>
          <w:b/>
          <w:bCs/>
          <w:noProof/>
        </w:rPr>
        <w:lastRenderedPageBreak/>
        <w:drawing>
          <wp:inline distT="0" distB="0" distL="0" distR="0" wp14:anchorId="52FD1FAC" wp14:editId="3D7E2B9E">
            <wp:extent cx="3453823" cy="1809564"/>
            <wp:effectExtent l="0" t="0" r="0" b="635"/>
            <wp:docPr id="1498491437"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1437" name="Picture 1" descr="A graph of different colored dots&#10;&#10;AI-generated content may be incorrect."/>
                    <pic:cNvPicPr/>
                  </pic:nvPicPr>
                  <pic:blipFill>
                    <a:blip r:embed="rId8"/>
                    <a:stretch>
                      <a:fillRect/>
                    </a:stretch>
                  </pic:blipFill>
                  <pic:spPr>
                    <a:xfrm>
                      <a:off x="0" y="0"/>
                      <a:ext cx="3462216" cy="1813961"/>
                    </a:xfrm>
                    <a:prstGeom prst="rect">
                      <a:avLst/>
                    </a:prstGeom>
                  </pic:spPr>
                </pic:pic>
              </a:graphicData>
            </a:graphic>
          </wp:inline>
        </w:drawing>
      </w:r>
    </w:p>
    <w:p w14:paraId="3192042C" w14:textId="48E9408C" w:rsidR="00F96A30" w:rsidRPr="006C1A98"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657F6600" w14:textId="76F4FDCD" w:rsidR="00826A52" w:rsidRPr="005303BA"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lastRenderedPageBreak/>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lastRenderedPageBreak/>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sha524/Spike_protein</w:t>
        </w:r>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7E4A6141" w14:textId="2E401080" w:rsidR="00772D42" w:rsidRDefault="00877738" w:rsidP="00877738">
      <w:pPr>
        <w:spacing w:after="220" w:line="240" w:lineRule="auto"/>
        <w:rPr>
          <w:rFonts w:asciiTheme="minorBidi" w:hAnsiTheme="minorBidi"/>
          <w:noProof/>
        </w:rPr>
      </w:pPr>
      <w:r>
        <w:rPr>
          <w:rFonts w:asciiTheme="minorBidi" w:hAnsiTheme="minorBidi"/>
        </w:rPr>
        <w:fldChar w:fldCharType="begin" w:fldLock="1"/>
      </w:r>
      <w:r w:rsidR="00772D42">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772D42">
        <w:rPr>
          <w:rFonts w:asciiTheme="minorBidi" w:hAnsiTheme="minorBidi"/>
          <w:noProof/>
        </w:rPr>
        <w:t xml:space="preserve">Arora, P. et al. (2020). Learning from history: Coronavirus outbreaks in the past. </w:t>
      </w:r>
      <w:r w:rsidR="00772D42" w:rsidRPr="00772D42">
        <w:rPr>
          <w:rFonts w:asciiTheme="minorBidi" w:hAnsiTheme="minorBidi"/>
          <w:i/>
          <w:noProof/>
        </w:rPr>
        <w:t>Dermatologic therapy</w:t>
      </w:r>
      <w:r w:rsidR="00772D42">
        <w:rPr>
          <w:rFonts w:asciiTheme="minorBidi" w:hAnsiTheme="minorBidi"/>
          <w:noProof/>
        </w:rPr>
        <w:t>, 33 (4), p.e13343.</w:t>
      </w:r>
    </w:p>
    <w:p w14:paraId="436BD681"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772D42">
        <w:rPr>
          <w:rFonts w:asciiTheme="minorBidi" w:hAnsiTheme="minorBidi"/>
          <w:i/>
          <w:noProof/>
        </w:rPr>
        <w:t>Journal of molecular biology</w:t>
      </w:r>
      <w:r>
        <w:rPr>
          <w:rFonts w:asciiTheme="minorBidi" w:hAnsiTheme="minorBidi"/>
          <w:noProof/>
        </w:rPr>
        <w:t>, 432 (19), pp.5212–5226.</w:t>
      </w:r>
    </w:p>
    <w:p w14:paraId="689646BE"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772D42">
        <w:rPr>
          <w:rFonts w:asciiTheme="minorBidi" w:hAnsiTheme="minorBidi"/>
          <w:i/>
          <w:noProof/>
        </w:rPr>
        <w:t>Nature reviews. Microbiology</w:t>
      </w:r>
      <w:r>
        <w:rPr>
          <w:rFonts w:asciiTheme="minorBidi" w:hAnsiTheme="minorBidi"/>
          <w:noProof/>
        </w:rPr>
        <w:t>, 17 (3), pp.181–192. [Accessed 21 February 2025].</w:t>
      </w:r>
    </w:p>
    <w:p w14:paraId="53128516"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772D42">
        <w:rPr>
          <w:rFonts w:asciiTheme="minorBidi" w:hAnsiTheme="minorBidi"/>
          <w:i/>
          <w:noProof/>
        </w:rPr>
        <w:t>JAMA: the journal of the American Medical Association</w:t>
      </w:r>
      <w:r>
        <w:rPr>
          <w:rFonts w:asciiTheme="minorBidi" w:hAnsiTheme="minorBidi"/>
          <w:noProof/>
        </w:rPr>
        <w:t>, 324 (15), pp.1495–1496.</w:t>
      </w:r>
    </w:p>
    <w:p w14:paraId="7A3A4D65"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772D42">
        <w:rPr>
          <w:rFonts w:asciiTheme="minorBidi" w:hAnsiTheme="minorBidi"/>
          <w:i/>
          <w:noProof/>
        </w:rPr>
        <w:t>Methods in molecular biology (Clifton, N.J.)</w:t>
      </w:r>
      <w:r>
        <w:rPr>
          <w:rFonts w:asciiTheme="minorBidi" w:hAnsiTheme="minorBidi"/>
          <w:noProof/>
        </w:rPr>
        <w:t>, 1282, pp.1–23.</w:t>
      </w:r>
    </w:p>
    <w:p w14:paraId="607BBE96"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772D42">
        <w:rPr>
          <w:rFonts w:asciiTheme="minorBidi" w:hAnsiTheme="minorBidi"/>
          <w:i/>
          <w:noProof/>
        </w:rPr>
        <w:t>Cell</w:t>
      </w:r>
      <w:r>
        <w:rPr>
          <w:rFonts w:asciiTheme="minorBidi" w:hAnsiTheme="minorBidi"/>
          <w:noProof/>
        </w:rPr>
        <w:t>, 181 (2), pp.271-280.e8.</w:t>
      </w:r>
    </w:p>
    <w:p w14:paraId="3F2CC879"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772D42">
        <w:rPr>
          <w:rFonts w:asciiTheme="minorBidi" w:hAnsiTheme="minorBidi"/>
          <w:i/>
          <w:noProof/>
        </w:rPr>
        <w:t>Nature reviews. Microbiology</w:t>
      </w:r>
      <w:r>
        <w:rPr>
          <w:rFonts w:asciiTheme="minorBidi" w:hAnsiTheme="minorBidi"/>
          <w:noProof/>
        </w:rPr>
        <w:t>, 19 (3), pp.141–154.</w:t>
      </w:r>
    </w:p>
    <w:p w14:paraId="6F7446CE"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772D42">
        <w:rPr>
          <w:rFonts w:asciiTheme="minorBidi" w:hAnsiTheme="minorBidi"/>
          <w:i/>
          <w:noProof/>
        </w:rPr>
        <w:t>Lancet</w:t>
      </w:r>
      <w:r>
        <w:rPr>
          <w:rFonts w:asciiTheme="minorBidi" w:hAnsiTheme="minorBidi"/>
          <w:noProof/>
        </w:rPr>
        <w:t>, 395 (10223), pp.497–506.</w:t>
      </w:r>
    </w:p>
    <w:p w14:paraId="2255DEEE"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772D42">
        <w:rPr>
          <w:rFonts w:asciiTheme="minorBidi" w:hAnsiTheme="minorBidi"/>
          <w:i/>
          <w:noProof/>
        </w:rPr>
        <w:t>Infectious diseases of poverty</w:t>
      </w:r>
      <w:r>
        <w:rPr>
          <w:rFonts w:asciiTheme="minorBidi" w:hAnsiTheme="minorBidi"/>
          <w:noProof/>
        </w:rPr>
        <w:t>, 9 (1), p.45.</w:t>
      </w:r>
    </w:p>
    <w:p w14:paraId="7C66BF4A"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Major, L. E. et al. </w:t>
      </w:r>
      <w:r w:rsidRPr="00772D42">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0CE1273A" w14:textId="77777777" w:rsidR="00772D42" w:rsidRDefault="00772D42" w:rsidP="00877738">
      <w:pPr>
        <w:spacing w:after="220" w:line="240" w:lineRule="auto"/>
        <w:rPr>
          <w:rFonts w:asciiTheme="minorBidi" w:hAnsiTheme="minorBidi"/>
          <w:noProof/>
        </w:rPr>
      </w:pPr>
      <w:r w:rsidRPr="00772D42">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772D42">
        <w:rPr>
          <w:rFonts w:asciiTheme="minorBidi" w:hAnsiTheme="minorBidi"/>
          <w:i/>
          <w:noProof/>
        </w:rPr>
        <w:t>International journal of immunopathology and pharmacology</w:t>
      </w:r>
      <w:r>
        <w:rPr>
          <w:rFonts w:asciiTheme="minorBidi" w:hAnsiTheme="minorBidi"/>
          <w:noProof/>
        </w:rPr>
        <w:t>, 35, p.20587384211048024.</w:t>
      </w:r>
    </w:p>
    <w:p w14:paraId="364C2F47"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772D42">
        <w:rPr>
          <w:rFonts w:asciiTheme="minorBidi" w:hAnsiTheme="minorBidi"/>
          <w:i/>
          <w:noProof/>
        </w:rPr>
        <w:t>Nature structural &amp; molecular biology</w:t>
      </w:r>
      <w:r>
        <w:rPr>
          <w:rFonts w:asciiTheme="minorBidi" w:hAnsiTheme="minorBidi"/>
          <w:noProof/>
        </w:rPr>
        <w:t>, 27 (10), pp.942–949. [Accessed 23 February 2025].</w:t>
      </w:r>
    </w:p>
    <w:p w14:paraId="4BE43870" w14:textId="77777777" w:rsidR="00772D42" w:rsidRDefault="00772D42" w:rsidP="00877738">
      <w:pPr>
        <w:spacing w:after="220" w:line="240" w:lineRule="auto"/>
        <w:rPr>
          <w:rFonts w:asciiTheme="minorBidi" w:hAnsiTheme="minorBidi"/>
          <w:noProof/>
        </w:rPr>
      </w:pPr>
      <w:r>
        <w:rPr>
          <w:rFonts w:asciiTheme="minorBidi" w:hAnsiTheme="minorBidi"/>
          <w:noProof/>
        </w:rPr>
        <w:lastRenderedPageBreak/>
        <w:t xml:space="preserve">Pyrc, K. et al. (2006). Mosaic structure of human coronavirus NL63, one thousand years of evolution. </w:t>
      </w:r>
      <w:r w:rsidRPr="00772D42">
        <w:rPr>
          <w:rFonts w:asciiTheme="minorBidi" w:hAnsiTheme="minorBidi"/>
          <w:i/>
          <w:noProof/>
        </w:rPr>
        <w:t>Journal of molecular biology</w:t>
      </w:r>
      <w:r>
        <w:rPr>
          <w:rFonts w:asciiTheme="minorBidi" w:hAnsiTheme="minorBidi"/>
          <w:noProof/>
        </w:rPr>
        <w:t>, 364 (5), pp.964–973.</w:t>
      </w:r>
    </w:p>
    <w:p w14:paraId="53FEEAB3"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772D42">
        <w:rPr>
          <w:rFonts w:asciiTheme="minorBidi" w:hAnsiTheme="minorBidi"/>
          <w:i/>
          <w:noProof/>
        </w:rPr>
        <w:t>Communications biology</w:t>
      </w:r>
      <w:r>
        <w:rPr>
          <w:rFonts w:asciiTheme="minorBidi" w:hAnsiTheme="minorBidi"/>
          <w:noProof/>
        </w:rPr>
        <w:t>, 4 (1), p.228. [Accessed 27 October 2024].</w:t>
      </w:r>
    </w:p>
    <w:p w14:paraId="17EA8D9E" w14:textId="77777777" w:rsidR="00772D42" w:rsidRDefault="00772D42"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772D42">
        <w:rPr>
          <w:rFonts w:asciiTheme="minorBidi" w:hAnsiTheme="minorBidi"/>
          <w:i/>
          <w:noProof/>
        </w:rPr>
        <w:t>Nature reviews. Microbiology</w:t>
      </w:r>
      <w:r>
        <w:rPr>
          <w:rFonts w:asciiTheme="minorBidi" w:hAnsiTheme="minorBidi"/>
          <w:noProof/>
        </w:rPr>
        <w:t>, 19 (11), pp.685–700. [Accessed 21 February 2025].</w:t>
      </w:r>
    </w:p>
    <w:p w14:paraId="5D93FA40" w14:textId="77777777" w:rsidR="00772D42" w:rsidRDefault="00772D42" w:rsidP="00877738">
      <w:pPr>
        <w:spacing w:after="220" w:line="240" w:lineRule="auto"/>
        <w:rPr>
          <w:rFonts w:asciiTheme="minorBidi" w:hAnsiTheme="minorBidi"/>
          <w:noProof/>
        </w:rPr>
      </w:pPr>
      <w:r w:rsidRPr="00772D42">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05CD1163" w:rsidR="00877738" w:rsidRPr="009764CD" w:rsidRDefault="00772D42" w:rsidP="00877738">
      <w:pPr>
        <w:spacing w:after="220" w:line="240" w:lineRule="auto"/>
        <w:rPr>
          <w:rFonts w:asciiTheme="minorBidi" w:hAnsiTheme="minorBidi"/>
        </w:rPr>
      </w:pPr>
      <w:r w:rsidRPr="00772D42">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288F"/>
    <w:rsid w:val="0001713E"/>
    <w:rsid w:val="00020555"/>
    <w:rsid w:val="00020AA1"/>
    <w:rsid w:val="00025A82"/>
    <w:rsid w:val="00025DB5"/>
    <w:rsid w:val="00027DC8"/>
    <w:rsid w:val="00033718"/>
    <w:rsid w:val="0003500A"/>
    <w:rsid w:val="000359C3"/>
    <w:rsid w:val="000409B0"/>
    <w:rsid w:val="00044F53"/>
    <w:rsid w:val="00047646"/>
    <w:rsid w:val="00051576"/>
    <w:rsid w:val="00053E96"/>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50178"/>
    <w:rsid w:val="00151567"/>
    <w:rsid w:val="00152A7A"/>
    <w:rsid w:val="001533E1"/>
    <w:rsid w:val="00153C62"/>
    <w:rsid w:val="00157794"/>
    <w:rsid w:val="00161B81"/>
    <w:rsid w:val="0016379D"/>
    <w:rsid w:val="00164AF2"/>
    <w:rsid w:val="00164B71"/>
    <w:rsid w:val="00164E8C"/>
    <w:rsid w:val="00165932"/>
    <w:rsid w:val="00167332"/>
    <w:rsid w:val="00171CF7"/>
    <w:rsid w:val="001753FC"/>
    <w:rsid w:val="00181B8B"/>
    <w:rsid w:val="00182B0D"/>
    <w:rsid w:val="00183C2F"/>
    <w:rsid w:val="00183F30"/>
    <w:rsid w:val="00186F0A"/>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74BD"/>
    <w:rsid w:val="001D7EBF"/>
    <w:rsid w:val="001E07CF"/>
    <w:rsid w:val="001E1B5B"/>
    <w:rsid w:val="001E1C47"/>
    <w:rsid w:val="001F1C82"/>
    <w:rsid w:val="001F3509"/>
    <w:rsid w:val="001F36E1"/>
    <w:rsid w:val="001F435B"/>
    <w:rsid w:val="001F4C87"/>
    <w:rsid w:val="001F603F"/>
    <w:rsid w:val="001F68B6"/>
    <w:rsid w:val="00201CBD"/>
    <w:rsid w:val="00202E77"/>
    <w:rsid w:val="00202EBB"/>
    <w:rsid w:val="00204B2C"/>
    <w:rsid w:val="002065A5"/>
    <w:rsid w:val="00206A75"/>
    <w:rsid w:val="002103C9"/>
    <w:rsid w:val="002128F5"/>
    <w:rsid w:val="002142D9"/>
    <w:rsid w:val="002156A5"/>
    <w:rsid w:val="002165C7"/>
    <w:rsid w:val="00216B44"/>
    <w:rsid w:val="00222757"/>
    <w:rsid w:val="002234AC"/>
    <w:rsid w:val="00223608"/>
    <w:rsid w:val="00223C9A"/>
    <w:rsid w:val="00225276"/>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7058"/>
    <w:rsid w:val="003673FE"/>
    <w:rsid w:val="00377F1B"/>
    <w:rsid w:val="00380E03"/>
    <w:rsid w:val="00381907"/>
    <w:rsid w:val="00382D43"/>
    <w:rsid w:val="0038305E"/>
    <w:rsid w:val="0038361E"/>
    <w:rsid w:val="00384090"/>
    <w:rsid w:val="00384662"/>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51078"/>
    <w:rsid w:val="00452F40"/>
    <w:rsid w:val="004534A5"/>
    <w:rsid w:val="00461BAC"/>
    <w:rsid w:val="004737F2"/>
    <w:rsid w:val="00475D2D"/>
    <w:rsid w:val="0047790C"/>
    <w:rsid w:val="0048041F"/>
    <w:rsid w:val="00482279"/>
    <w:rsid w:val="00482FA2"/>
    <w:rsid w:val="00484004"/>
    <w:rsid w:val="004844B3"/>
    <w:rsid w:val="00484A77"/>
    <w:rsid w:val="00487E29"/>
    <w:rsid w:val="004902CC"/>
    <w:rsid w:val="0049123D"/>
    <w:rsid w:val="00496B7B"/>
    <w:rsid w:val="004A2388"/>
    <w:rsid w:val="004A565A"/>
    <w:rsid w:val="004A5748"/>
    <w:rsid w:val="004A7EC4"/>
    <w:rsid w:val="004B15AC"/>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051F1"/>
    <w:rsid w:val="00516AD2"/>
    <w:rsid w:val="005172B1"/>
    <w:rsid w:val="00522519"/>
    <w:rsid w:val="00525969"/>
    <w:rsid w:val="00525AA4"/>
    <w:rsid w:val="00526790"/>
    <w:rsid w:val="005274C2"/>
    <w:rsid w:val="005303BA"/>
    <w:rsid w:val="00533295"/>
    <w:rsid w:val="00533F4F"/>
    <w:rsid w:val="005471F7"/>
    <w:rsid w:val="00551FB5"/>
    <w:rsid w:val="005526C0"/>
    <w:rsid w:val="00553521"/>
    <w:rsid w:val="00555722"/>
    <w:rsid w:val="00556BFD"/>
    <w:rsid w:val="00557EC9"/>
    <w:rsid w:val="00564E49"/>
    <w:rsid w:val="005702A7"/>
    <w:rsid w:val="005825B6"/>
    <w:rsid w:val="00583371"/>
    <w:rsid w:val="00583652"/>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1287"/>
    <w:rsid w:val="005D1B87"/>
    <w:rsid w:val="005D7A36"/>
    <w:rsid w:val="005E1661"/>
    <w:rsid w:val="005E438B"/>
    <w:rsid w:val="005F2986"/>
    <w:rsid w:val="005F4E58"/>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53FB9"/>
    <w:rsid w:val="00654BB8"/>
    <w:rsid w:val="00654BCF"/>
    <w:rsid w:val="00655D64"/>
    <w:rsid w:val="006570FB"/>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A561E"/>
    <w:rsid w:val="006A641D"/>
    <w:rsid w:val="006B2AF1"/>
    <w:rsid w:val="006B45DB"/>
    <w:rsid w:val="006B5BB5"/>
    <w:rsid w:val="006C0689"/>
    <w:rsid w:val="006C1A98"/>
    <w:rsid w:val="006C4D70"/>
    <w:rsid w:val="006D0650"/>
    <w:rsid w:val="006D1E88"/>
    <w:rsid w:val="006D3C29"/>
    <w:rsid w:val="006D3ECD"/>
    <w:rsid w:val="006D7AF8"/>
    <w:rsid w:val="006E1003"/>
    <w:rsid w:val="006E2621"/>
    <w:rsid w:val="006E2DDB"/>
    <w:rsid w:val="006E343B"/>
    <w:rsid w:val="006E3B3F"/>
    <w:rsid w:val="006E3B6C"/>
    <w:rsid w:val="006F0913"/>
    <w:rsid w:val="006F1EE7"/>
    <w:rsid w:val="006F668E"/>
    <w:rsid w:val="007043BE"/>
    <w:rsid w:val="00711909"/>
    <w:rsid w:val="007131F7"/>
    <w:rsid w:val="00714DB3"/>
    <w:rsid w:val="00715209"/>
    <w:rsid w:val="007237DD"/>
    <w:rsid w:val="00724D8F"/>
    <w:rsid w:val="0072679C"/>
    <w:rsid w:val="00726E94"/>
    <w:rsid w:val="00736938"/>
    <w:rsid w:val="00742106"/>
    <w:rsid w:val="00742876"/>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29C0"/>
    <w:rsid w:val="008B3886"/>
    <w:rsid w:val="008B5D4A"/>
    <w:rsid w:val="008C0948"/>
    <w:rsid w:val="008C460E"/>
    <w:rsid w:val="008C48F5"/>
    <w:rsid w:val="008C5594"/>
    <w:rsid w:val="008C5F5B"/>
    <w:rsid w:val="008C68FE"/>
    <w:rsid w:val="008D11AD"/>
    <w:rsid w:val="008D123A"/>
    <w:rsid w:val="008D12BC"/>
    <w:rsid w:val="008D1E23"/>
    <w:rsid w:val="008D4E98"/>
    <w:rsid w:val="008D6311"/>
    <w:rsid w:val="008D7383"/>
    <w:rsid w:val="008E1189"/>
    <w:rsid w:val="008E331E"/>
    <w:rsid w:val="008E545E"/>
    <w:rsid w:val="008F69A4"/>
    <w:rsid w:val="008F6A81"/>
    <w:rsid w:val="008F6EEE"/>
    <w:rsid w:val="00902090"/>
    <w:rsid w:val="00911565"/>
    <w:rsid w:val="00913236"/>
    <w:rsid w:val="00914763"/>
    <w:rsid w:val="009156E0"/>
    <w:rsid w:val="00916217"/>
    <w:rsid w:val="009222DD"/>
    <w:rsid w:val="0092419E"/>
    <w:rsid w:val="0093258E"/>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3140"/>
    <w:rsid w:val="00985106"/>
    <w:rsid w:val="00997500"/>
    <w:rsid w:val="009A2D87"/>
    <w:rsid w:val="009A6EB9"/>
    <w:rsid w:val="009B1231"/>
    <w:rsid w:val="009B2295"/>
    <w:rsid w:val="009B3F54"/>
    <w:rsid w:val="009C1116"/>
    <w:rsid w:val="009C340D"/>
    <w:rsid w:val="009C3D94"/>
    <w:rsid w:val="009C71A8"/>
    <w:rsid w:val="009D23C5"/>
    <w:rsid w:val="009D3458"/>
    <w:rsid w:val="009D56F8"/>
    <w:rsid w:val="009D6379"/>
    <w:rsid w:val="009D77AF"/>
    <w:rsid w:val="009E0262"/>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6804"/>
    <w:rsid w:val="00AB0060"/>
    <w:rsid w:val="00AB1FEA"/>
    <w:rsid w:val="00AB440B"/>
    <w:rsid w:val="00AB44E6"/>
    <w:rsid w:val="00AB547A"/>
    <w:rsid w:val="00AB66BE"/>
    <w:rsid w:val="00AB7B6C"/>
    <w:rsid w:val="00AC04B2"/>
    <w:rsid w:val="00AC0F94"/>
    <w:rsid w:val="00AC3F98"/>
    <w:rsid w:val="00AC6EEA"/>
    <w:rsid w:val="00AD0827"/>
    <w:rsid w:val="00AD16E4"/>
    <w:rsid w:val="00AD542E"/>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7D4C"/>
    <w:rsid w:val="00B12425"/>
    <w:rsid w:val="00B125EA"/>
    <w:rsid w:val="00B13417"/>
    <w:rsid w:val="00B13562"/>
    <w:rsid w:val="00B20591"/>
    <w:rsid w:val="00B27827"/>
    <w:rsid w:val="00B32F3A"/>
    <w:rsid w:val="00B3534C"/>
    <w:rsid w:val="00B365C3"/>
    <w:rsid w:val="00B41122"/>
    <w:rsid w:val="00B4347B"/>
    <w:rsid w:val="00B523BA"/>
    <w:rsid w:val="00B53ADC"/>
    <w:rsid w:val="00B55BA0"/>
    <w:rsid w:val="00B57120"/>
    <w:rsid w:val="00B60A5E"/>
    <w:rsid w:val="00B60DD6"/>
    <w:rsid w:val="00B6101F"/>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6CCC"/>
    <w:rsid w:val="00BA0F2C"/>
    <w:rsid w:val="00BA33AF"/>
    <w:rsid w:val="00BA3407"/>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AC6"/>
    <w:rsid w:val="00C01D97"/>
    <w:rsid w:val="00C02302"/>
    <w:rsid w:val="00C06E95"/>
    <w:rsid w:val="00C10CE1"/>
    <w:rsid w:val="00C120EF"/>
    <w:rsid w:val="00C14F5A"/>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836"/>
    <w:rsid w:val="00C8490C"/>
    <w:rsid w:val="00C849F9"/>
    <w:rsid w:val="00C924C0"/>
    <w:rsid w:val="00C954B3"/>
    <w:rsid w:val="00C9674C"/>
    <w:rsid w:val="00CA204C"/>
    <w:rsid w:val="00CA397C"/>
    <w:rsid w:val="00CA53B8"/>
    <w:rsid w:val="00CA6A1C"/>
    <w:rsid w:val="00CA77CE"/>
    <w:rsid w:val="00CA7E08"/>
    <w:rsid w:val="00CB2964"/>
    <w:rsid w:val="00CB61E8"/>
    <w:rsid w:val="00CB7AF4"/>
    <w:rsid w:val="00CC0873"/>
    <w:rsid w:val="00CD26F0"/>
    <w:rsid w:val="00CD6BC0"/>
    <w:rsid w:val="00CD7908"/>
    <w:rsid w:val="00CE0143"/>
    <w:rsid w:val="00CE382F"/>
    <w:rsid w:val="00CE4646"/>
    <w:rsid w:val="00CE5ED6"/>
    <w:rsid w:val="00CF586A"/>
    <w:rsid w:val="00CF6299"/>
    <w:rsid w:val="00D01430"/>
    <w:rsid w:val="00D039A5"/>
    <w:rsid w:val="00D0555E"/>
    <w:rsid w:val="00D07AB0"/>
    <w:rsid w:val="00D15F6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706D1"/>
    <w:rsid w:val="00D70BA0"/>
    <w:rsid w:val="00D722DF"/>
    <w:rsid w:val="00D748F5"/>
    <w:rsid w:val="00D80B2C"/>
    <w:rsid w:val="00D84ED8"/>
    <w:rsid w:val="00D91CB9"/>
    <w:rsid w:val="00D941BD"/>
    <w:rsid w:val="00D955E7"/>
    <w:rsid w:val="00D969D6"/>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45A"/>
    <w:rsid w:val="00E31BBA"/>
    <w:rsid w:val="00E3410B"/>
    <w:rsid w:val="00E347B6"/>
    <w:rsid w:val="00E348ED"/>
    <w:rsid w:val="00E4025C"/>
    <w:rsid w:val="00E430D2"/>
    <w:rsid w:val="00E437F8"/>
    <w:rsid w:val="00E43BE4"/>
    <w:rsid w:val="00E4638E"/>
    <w:rsid w:val="00E51AF7"/>
    <w:rsid w:val="00E51B8C"/>
    <w:rsid w:val="00E5537E"/>
    <w:rsid w:val="00E611E4"/>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D66"/>
    <w:rsid w:val="00EF3F52"/>
    <w:rsid w:val="00EF5AC4"/>
    <w:rsid w:val="00EF78AE"/>
    <w:rsid w:val="00F03A9D"/>
    <w:rsid w:val="00F0534E"/>
    <w:rsid w:val="00F065F2"/>
    <w:rsid w:val="00F13628"/>
    <w:rsid w:val="00F14F5E"/>
    <w:rsid w:val="00F16CDC"/>
    <w:rsid w:val="00F23457"/>
    <w:rsid w:val="00F245E2"/>
    <w:rsid w:val="00F31304"/>
    <w:rsid w:val="00F31CEC"/>
    <w:rsid w:val="00F33CF3"/>
    <w:rsid w:val="00F33F47"/>
    <w:rsid w:val="00F3556B"/>
    <w:rsid w:val="00F35645"/>
    <w:rsid w:val="00F3693E"/>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758E"/>
    <w:rsid w:val="00FB54AD"/>
    <w:rsid w:val="00FB585A"/>
    <w:rsid w:val="00FB5D75"/>
    <w:rsid w:val="00FC1CD9"/>
    <w:rsid w:val="00FC2D7B"/>
    <w:rsid w:val="00FD167E"/>
    <w:rsid w:val="00FD3929"/>
    <w:rsid w:val="00FD4079"/>
    <w:rsid w:val="00FD6D8E"/>
    <w:rsid w:val="00FE083C"/>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8241</Words>
  <Characters>46979</Characters>
  <Application>Microsoft Office Word</Application>
  <DocSecurity>0</DocSecurity>
  <Lines>391</Lines>
  <Paragraphs>110</Paragraphs>
  <ScaleCrop>false</ScaleCrop>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Aldous, Samuel (Old Pupil)</cp:lastModifiedBy>
  <cp:revision>957</cp:revision>
  <cp:lastPrinted>2025-03-17T16:45:00Z</cp:lastPrinted>
  <dcterms:created xsi:type="dcterms:W3CDTF">2025-01-28T14:19:00Z</dcterms:created>
  <dcterms:modified xsi:type="dcterms:W3CDTF">2025-03-17T16:59:00Z</dcterms:modified>
</cp:coreProperties>
</file>