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A2332"/>
          <w:sz w:val="44"/>
          <w:szCs w:val="44"/>
        </w:rPr>
        <w:t xml:space="preserve">The Argument Spine</w:t>
      </w:r>
    </w:p>
    <w:p>
      <w:pPr>
        <w:pBdr>
          <w:bottom w:val="single" w:color="72C140" w:sz="18" w:space="8"/>
        </w:pBdr>
        <w:spacing w:after="220" w:before="0"/>
      </w:pPr>
      <w:r>
        <w:rPr>
          <w:rFonts w:ascii="Calibri" w:cs="Calibri" w:eastAsia="Calibri" w:hAnsi="Calibri"/>
          <w:color w:val="1565C8"/>
          <w:sz w:val="26"/>
          <w:szCs w:val="26"/>
        </w:rPr>
        <w:t xml:space="preserve">Eight pages. What each one argues, in order. Build from this.</w:t>
      </w:r>
    </w:p>
    <w:p>
      <w:pPr>
        <w:spacing w:after="20" w:before="20"/>
      </w:pPr>
      <w:r>
        <w:rPr>
          <w:rFonts w:ascii="Calibri" w:cs="Calibri" w:eastAsia="Calibri" w:hAnsi="Calibri"/>
          <w:b/>
          <w:bCs/>
          <w:color w:val="1A2332"/>
          <w:sz w:val="20"/>
          <w:szCs w:val="20"/>
        </w:rPr>
        <w:t xml:space="preserve">To  </w:t>
      </w:r>
      <w:r>
        <w:rPr>
          <w:rFonts w:ascii="Calibri" w:cs="Calibri" w:eastAsia="Calibri" w:hAnsi="Calibri"/>
          <w:color w:val="43536A"/>
          <w:sz w:val="20"/>
          <w:szCs w:val="20"/>
        </w:rPr>
        <w:t xml:space="preserve">Alejandro Munoz, Shahadat Hossain</w:t>
      </w:r>
    </w:p>
    <w:p>
      <w:pPr>
        <w:spacing w:after="20" w:before="20"/>
      </w:pPr>
      <w:r>
        <w:rPr>
          <w:rFonts w:ascii="Calibri" w:cs="Calibri" w:eastAsia="Calibri" w:hAnsi="Calibri"/>
          <w:b/>
          <w:bCs/>
          <w:color w:val="1A2332"/>
          <w:sz w:val="20"/>
          <w:szCs w:val="20"/>
        </w:rPr>
        <w:t xml:space="preserve">From  </w:t>
      </w:r>
      <w:r>
        <w:rPr>
          <w:rFonts w:ascii="Calibri" w:cs="Calibri" w:eastAsia="Calibri" w:hAnsi="Calibri"/>
          <w:color w:val="43536A"/>
          <w:sz w:val="20"/>
          <w:szCs w:val="20"/>
        </w:rPr>
        <w:t xml:space="preserve">Ryan Smith, COO</w:t>
      </w:r>
    </w:p>
    <w:p>
      <w:pPr>
        <w:spacing w:after="20" w:before="20"/>
      </w:pPr>
      <w:r>
        <w:rPr>
          <w:rFonts w:ascii="Calibri" w:cs="Calibri" w:eastAsia="Calibri" w:hAnsi="Calibri"/>
          <w:b/>
          <w:bCs/>
          <w:color w:val="1A2332"/>
          <w:sz w:val="20"/>
          <w:szCs w:val="20"/>
        </w:rPr>
        <w:t xml:space="preserve">Reads with  </w:t>
      </w:r>
      <w:r>
        <w:rPr>
          <w:rFonts w:ascii="Calibri" w:cs="Calibri" w:eastAsia="Calibri" w:hAnsi="Calibri"/>
          <w:color w:val="43536A"/>
          <w:sz w:val="20"/>
          <w:szCs w:val="20"/>
        </w:rPr>
        <w:t xml:space="preserve">Website Build Specification v2.0 and JB’s BrandFormance Messaging and Copy Framework</w:t>
      </w:r>
    </w:p>
    <w:p>
      <w:pPr>
        <w:spacing w:after="20" w:before="20"/>
      </w:pPr>
      <w:r>
        <w:rPr>
          <w:rFonts w:ascii="Calibri" w:cs="Calibri" w:eastAsia="Calibri" w:hAnsi="Calibri"/>
          <w:b/>
          <w:bCs/>
          <w:color w:val="1A2332"/>
          <w:sz w:val="20"/>
          <w:szCs w:val="20"/>
        </w:rPr>
        <w:t xml:space="preserve">Date  </w:t>
      </w:r>
      <w:r>
        <w:rPr>
          <w:rFonts w:ascii="Calibri" w:cs="Calibri" w:eastAsia="Calibri" w:hAnsi="Calibri"/>
          <w:color w:val="43536A"/>
          <w:sz w:val="20"/>
          <w:szCs w:val="20"/>
        </w:rPr>
        <w:t xml:space="preserve">August 2026</w:t>
      </w:r>
    </w:p>
    <w:p>
      <w:pPr>
        <w:spacing w:after="100" w:before="80"/>
      </w:pPr>
      <w:r>
        <w:rPr>
          <w:rFonts w:ascii="Calibri" w:cs="Calibri" w:eastAsia="Calibri" w:hAnsi="Calibri"/>
          <w:color w:val="43536A"/>
          <w:sz w:val="21"/>
          <w:szCs w:val="21"/>
        </w:rPr>
        <w:t xml:space="preserve"/>
      </w:r>
    </w:p>
    <w:tbl>
      <w:tblPr>
        <w:tblW w:type="dxa" w:w="9360"/>
        <w:tblBorders>
          <w:top w:val="nil"/>
          <w:left w:val="single" w:color="72C140"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This is the spine, not the copy. Write over it, do not write around it.</w:t>
            </w:r>
          </w:p>
          <w:p>
            <w:pPr>
              <w:spacing w:after="40" w:before="40"/>
            </w:pPr>
            <w:r>
              <w:rPr>
                <w:rFonts w:ascii="Calibri" w:cs="Calibri" w:eastAsia="Calibri" w:hAnsi="Calibri"/>
                <w:color w:val="43536A"/>
                <w:sz w:val="21"/>
                <w:szCs w:val="21"/>
              </w:rPr>
              <w:t xml:space="preserve">Every page on this site argues something specific in a specific order. If copy and layout move together without the argument fixed, copy starts getting shaped to fit a section instead of the section getting built to carry the argument. </w:t>
            </w:r>
            <w:r>
              <w:rPr>
                <w:rFonts w:ascii="Calibri" w:cs="Calibri" w:eastAsia="Calibri" w:hAnsi="Calibri"/>
                <w:b/>
                <w:bCs/>
                <w:color w:val="1A2332"/>
                <w:sz w:val="21"/>
                <w:szCs w:val="21"/>
              </w:rPr>
              <w:t xml:space="preserve">The result is a good looking site that has stopped arguing.</w:t>
            </w:r>
          </w:p>
          <w:p>
            <w:pPr>
              <w:spacing w:after="40" w:before="40"/>
            </w:pPr>
            <w:r>
              <w:rPr>
                <w:rFonts w:ascii="Calibri" w:cs="Calibri" w:eastAsia="Calibri" w:hAnsi="Calibri"/>
                <w:color w:val="43536A"/>
                <w:sz w:val="21"/>
                <w:szCs w:val="21"/>
              </w:rPr>
              <w:t xml:space="preserve">With this locked, copy and design run in parallel safely, because both are serving the same thing. </w:t>
            </w:r>
            <w:r>
              <w:rPr>
                <w:rFonts w:ascii="Calibri" w:cs="Calibri" w:eastAsia="Calibri" w:hAnsi="Calibri"/>
                <w:b/>
                <w:bCs/>
                <w:color w:val="1A2332"/>
                <w:sz w:val="21"/>
                <w:szCs w:val="21"/>
              </w:rPr>
              <w:t xml:space="preserve">Go build.</w:t>
            </w:r>
          </w:p>
        </w:tc>
      </w:tr>
    </w:tbl>
    <w:p>
      <w:pPr>
        <w:spacing w:after="100" w:before="0"/>
      </w:pPr>
      <w:r>
        <w:rPr>
          <w:rFonts w:ascii="Calibri" w:cs="Calibri" w:eastAsia="Calibri" w:hAnsi="Calibri"/>
          <w:color w:val="43536A"/>
          <w:sz w:val="21"/>
          <w:szCs w:val="21"/>
        </w:rPr>
        <w:t xml:space="preserve"/>
      </w:r>
    </w:p>
    <w:p>
      <w:pPr>
        <w:spacing w:after="80" w:before="80"/>
      </w:pPr>
      <w:r>
        <w:rPr>
          <w:rFonts w:ascii="Calibri" w:cs="Calibri" w:eastAsia="Calibri" w:hAnsi="Calibri"/>
          <w:color w:val="43536A"/>
          <w:sz w:val="21"/>
          <w:szCs w:val="21"/>
        </w:rPr>
        <w:t xml:space="preserve">The eight beats come from section 29 of JB’s framework and section 13 of the build spec. Every page below is filled in against them. </w:t>
      </w:r>
      <w:r>
        <w:rPr>
          <w:rFonts w:ascii="Calibri" w:cs="Calibri" w:eastAsia="Calibri" w:hAnsi="Calibri"/>
          <w:b/>
          <w:bCs/>
          <w:color w:val="1A2332"/>
          <w:sz w:val="21"/>
          <w:szCs w:val="21"/>
        </w:rPr>
        <w:t xml:space="preserve">Where a beat says something you disagree with, say so and change it. Where it says nothing, that is a gap I could not fill and you should.</w:t>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1. HOME</w:t>
      </w:r>
    </w:p>
    <w:p>
      <w:pPr>
        <w:spacing w:after="80" w:before="80"/>
      </w:pPr>
      <w:r>
        <w:rPr>
          <w:rFonts w:ascii="Consolas" w:cs="Consolas" w:eastAsia="Consolas" w:hAnsi="Consolas"/>
          <w:color w:val="1A2332"/>
          <w:sz w:val="19"/>
          <w:szCs w:val="19"/>
        </w:rPr>
        <w:t xml:space="preserv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800"/>
        <w:gridCol w:w="7560"/>
      </w:tblGrid>
      <w:tr>
        <w:trPr>
          <w:tblHeader/>
          <w:cantSplit/>
        </w:trPr>
        <w:tc>
          <w:tcPr>
            <w:tcW w:type="dxa" w:w="1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Beat</w:t>
            </w:r>
          </w:p>
        </w:tc>
        <w:tc>
          <w:tcPr>
            <w:tcW w:type="dxa" w:w="7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The argument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Problem</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You are doing everything the industry told you to do. Ranking, ads, reviews, a good site. The phone still is not ringing the way the numbers say it should. </w:t>
            </w:r>
            <w:r>
              <w:rPr>
                <w:rFonts w:ascii="Calibri" w:cs="Calibri" w:eastAsia="Calibri" w:hAnsi="Calibri"/>
                <w:b/>
                <w:bCs/>
                <w:color w:val="1A2332"/>
                <w:sz w:val="19"/>
                <w:szCs w:val="19"/>
              </w:rPr>
              <w:t xml:space="preserve">Stop paying and it stops. That is dependency, and JB calls it digital heroin.</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False assumption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If I am found, I will be chosen.</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Insight</w:t>
            </w:r>
          </w:p>
        </w:tc>
        <w:tc>
          <w:tcPr>
            <w:tcW w:type="dxa" w:w="75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Being found is not the same as being chosen.</w:t>
            </w:r>
            <w:r>
              <w:rPr>
                <w:rFonts w:ascii="Calibri" w:cs="Calibri" w:eastAsia="Calibri" w:hAnsi="Calibri"/>
                <w:b w:val="false"/>
                <w:bCs w:val="false"/>
                <w:color w:val="2B2B2B"/>
                <w:sz w:val="19"/>
                <w:szCs w:val="19"/>
              </w:rPr>
              <w:t xml:space="preserve"> When several companies look equally credible on a screen, the homeowner picks the one that already feels familiar. Familiarity is decided long before the search.</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Principle</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Performance captures demand. Brand creates demand. BrandFormance does both, which is why it beats either one alone.</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Proof</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Six companies, real markets, revenue before and after. Branded search growth and map visibility alongside revenue, never traffic percentages on their own.</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Plan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Position, Build, Create Demand, Capture Demand, Convert, Optimize. Shown as a system, not a list.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Transformation</w:t>
            </w:r>
          </w:p>
        </w:tc>
        <w:tc>
          <w:tcPr>
            <w:tcW w:type="dxa" w:w="75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From invisible to five mile famous.</w:t>
            </w:r>
            <w:r>
              <w:rPr>
                <w:rFonts w:ascii="Calibri" w:cs="Calibri" w:eastAsia="Calibri" w:hAnsi="Calibri"/>
                <w:b w:val="false"/>
                <w:bCs w:val="false"/>
                <w:color w:val="2B2B2B"/>
                <w:sz w:val="19"/>
                <w:szCs w:val="19"/>
              </w:rPr>
              <w:t xml:space="preserve"> You do not need to be famous everywhere. You need to be famous where you make money.</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Outcome</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From another option to the obvious choice. Searched for by name rather than found by category.</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CTA</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Discover BrandFormance. Secondary: Get Your Brand Grade.</w:t>
            </w:r>
          </w:p>
        </w:tc>
      </w:tr>
    </w:tbl>
    <w:p>
      <w:pPr>
        <w:spacing w:after="0" w:before="0"/>
      </w:pPr>
      <w:r>
        <w:rPr>
          <w:rFonts w:ascii="Calibri" w:cs="Calibri" w:eastAsia="Calibri" w:hAnsi="Calibri"/>
          <w:color w:val="43536A"/>
          <w:sz w:val="21"/>
          <w:szCs w:val="21"/>
        </w:rPr>
        <w:t xml:space="preserve"/>
      </w:r>
    </w:p>
    <w:tbl>
      <w:tblPr>
        <w:tblW w:type="dxa" w:w="9360"/>
        <w:tblBorders>
          <w:top w:val="nil"/>
          <w:left w:val="single" w:color="1565C8"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The home page is not a summary of the site. It is the argument in miniature.</w:t>
            </w:r>
          </w:p>
          <w:p>
            <w:pPr>
              <w:spacing w:after="40" w:before="40"/>
            </w:pPr>
            <w:r>
              <w:rPr>
                <w:rFonts w:ascii="Calibri" w:cs="Calibri" w:eastAsia="Calibri" w:hAnsi="Calibri"/>
                <w:color w:val="43536A"/>
                <w:sz w:val="21"/>
                <w:szCs w:val="21"/>
              </w:rPr>
              <w:t xml:space="preserve">A visitor who reads only this page should leave able to explain to someone else why being found is not being chosen. If they cannot, the page has not done its job no matter how good it looks.</w:t>
            </w:r>
          </w:p>
        </w:tc>
      </w:tr>
    </w:tbl>
    <w:p>
      <w:pPr>
        <w:spacing w:after="100" w:before="0"/>
      </w:pPr>
      <w:r>
        <w:rPr>
          <w:rFonts w:ascii="Calibri" w:cs="Calibri" w:eastAsia="Calibri" w:hAnsi="Calibri"/>
          <w:color w:val="43536A"/>
          <w:sz w:val="21"/>
          <w:szCs w:val="21"/>
        </w:rPr>
        <w:t xml:space="preserve"/>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2. BRANDFORMANCE</w:t>
      </w:r>
    </w:p>
    <w:p>
      <w:pPr>
        <w:spacing w:after="80" w:before="80"/>
      </w:pPr>
      <w:r>
        <w:rPr>
          <w:rFonts w:ascii="Consolas" w:cs="Consolas" w:eastAsia="Consolas" w:hAnsi="Consolas"/>
          <w:color w:val="1A2332"/>
          <w:sz w:val="19"/>
          <w:szCs w:val="19"/>
        </w:rPr>
        <w:t xml:space="preserve">/brandformance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800"/>
        <w:gridCol w:w="7560"/>
      </w:tblGrid>
      <w:tr>
        <w:trPr>
          <w:tblHeader/>
          <w:cantSplit/>
        </w:trPr>
        <w:tc>
          <w:tcPr>
            <w:tcW w:type="dxa" w:w="1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Beat</w:t>
            </w:r>
          </w:p>
        </w:tc>
        <w:tc>
          <w:tcPr>
            <w:tcW w:type="dxa" w:w="7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The argument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Problem</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Every agency sells the same tools with different names. There is no way to tell one from another, so contractors pick on price and get burned, repeatedly.</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False assumption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Marketing is a set of channels I buy. More channels or more spend equals more growth.</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Insight</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Channels are components. </w:t>
            </w:r>
            <w:r>
              <w:rPr>
                <w:rFonts w:ascii="Calibri" w:cs="Calibri" w:eastAsia="Calibri" w:hAnsi="Calibri"/>
                <w:b/>
                <w:bCs/>
                <w:color w:val="1A2332"/>
                <w:sz w:val="19"/>
                <w:szCs w:val="19"/>
              </w:rPr>
              <w:t xml:space="preserve">What is missing is the operating system that decides what runs, where, at what frequency, and in what order.</w:t>
            </w:r>
            <w:r>
              <w:rPr>
                <w:rFonts w:ascii="Calibri" w:cs="Calibri" w:eastAsia="Calibri" w:hAnsi="Calibri"/>
                <w:b w:val="false"/>
                <w:bCs w:val="false"/>
                <w:color w:val="2B2B2B"/>
                <w:sz w:val="19"/>
                <w:szCs w:val="19"/>
              </w:rPr>
              <w:t xml:space="preserve"> Without one you are buying parts and hoping they assemble themselves.</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Principle</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BrandFormance is that operating system. Brand creates demand, performance captures it, and the two are sized against each other rather than traded off.</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Proof</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It has a name, a method, a measurement standard and a book behind it. The definition on this page is the one the industry will cite, because we wrote it first.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Plan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it is, why it was created, what is wrong with the traditional approach, how it works, its components, its outcomes, who it is for, what implementation looks like.</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Outcome</w:t>
            </w:r>
          </w:p>
        </w:tc>
        <w:tc>
          <w:tcPr>
            <w:tcW w:type="dxa" w:w="75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You stop renting attention and start owning it.</w:t>
            </w:r>
            <w:r>
              <w:rPr>
                <w:rFonts w:ascii="Calibri" w:cs="Calibri" w:eastAsia="Calibri" w:hAnsi="Calibri"/>
                <w:b w:val="false"/>
                <w:bCs w:val="false"/>
                <w:color w:val="2B2B2B"/>
                <w:sz w:val="19"/>
                <w:szCs w:val="19"/>
              </w:rPr>
              <w:t xml:space="preserve"> A click ends when payment ends. Recognition, branded search, a video library and word of mouth keep working. The contractor stops buying channels and starts running a system.</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CTA</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See the method.</w:t>
            </w:r>
          </w:p>
        </w:tc>
      </w:tr>
    </w:tbl>
    <w:p>
      <w:pPr>
        <w:spacing w:after="0" w:before="0"/>
      </w:pPr>
      <w:r>
        <w:rPr>
          <w:rFonts w:ascii="Calibri" w:cs="Calibri" w:eastAsia="Calibri" w:hAnsi="Calibri"/>
          <w:color w:val="43536A"/>
          <w:sz w:val="21"/>
          <w:szCs w:val="21"/>
        </w:rPr>
        <w:t xml:space="preserve"/>
      </w:r>
    </w:p>
    <w:tbl>
      <w:tblPr>
        <w:tblW w:type="dxa" w:w="9360"/>
        <w:tblBorders>
          <w:top w:val="nil"/>
          <w:left w:val="single" w:color="1565C8"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This page has to be the definitive resource for the term.</w:t>
            </w:r>
            <w:r>
              <w:rPr>
                <w:rFonts w:ascii="Calibri" w:cs="Calibri" w:eastAsia="Calibri" w:hAnsi="Calibri"/>
                <w:color w:val="43536A"/>
                <w:sz w:val="21"/>
                <w:szCs w:val="21"/>
              </w:rPr>
              <w:t xml:space="preserve"> Somebody who has never heard of us should be able to land here from a search, understand the concept completely, and cite it. That is what makes it defensible as a category rather than a slogan.</w:t>
            </w:r>
          </w:p>
        </w:tc>
      </w:tr>
    </w:tbl>
    <w:p>
      <w:pPr>
        <w:spacing w:after="100" w:before="0"/>
      </w:pPr>
      <w:r>
        <w:rPr>
          <w:rFonts w:ascii="Calibri" w:cs="Calibri" w:eastAsia="Calibri" w:hAnsi="Calibri"/>
          <w:color w:val="43536A"/>
          <w:sz w:val="21"/>
          <w:szCs w:val="21"/>
        </w:rPr>
        <w:t xml:space="preserve"/>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3. THE METHOD</w:t>
      </w:r>
    </w:p>
    <w:p>
      <w:pPr>
        <w:spacing w:after="80" w:before="80"/>
      </w:pPr>
      <w:r>
        <w:rPr>
          <w:rFonts w:ascii="Consolas" w:cs="Consolas" w:eastAsia="Consolas" w:hAnsi="Consolas"/>
          <w:color w:val="1A2332"/>
          <w:sz w:val="19"/>
          <w:szCs w:val="19"/>
        </w:rPr>
        <w:t xml:space="preserve">/method</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800"/>
        <w:gridCol w:w="7560"/>
      </w:tblGrid>
      <w:tr>
        <w:trPr>
          <w:tblHeader/>
          <w:cantSplit/>
        </w:trPr>
        <w:tc>
          <w:tcPr>
            <w:tcW w:type="dxa" w:w="1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Beat</w:t>
            </w:r>
          </w:p>
        </w:tc>
        <w:tc>
          <w:tcPr>
            <w:tcW w:type="dxa" w:w="7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The argument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Problem</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You have heard the pitch before. Every agency has a proprietary process and most of them are a diagram with no teeth.</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False assumption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 methodology is marketing language for the same work everyone else does.</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Insight</w:t>
            </w:r>
          </w:p>
        </w:tc>
        <w:tc>
          <w:tcPr>
            <w:tcW w:type="dxa" w:w="75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A real method tells you what happens, in what order, what it produces, and how you know it worked.</w:t>
            </w:r>
            <w:r>
              <w:rPr>
                <w:rFonts w:ascii="Calibri" w:cs="Calibri" w:eastAsia="Calibri" w:hAnsi="Calibri"/>
                <w:b w:val="false"/>
                <w:bCs w:val="false"/>
                <w:color w:val="2B2B2B"/>
                <w:sz w:val="19"/>
                <w:szCs w:val="19"/>
              </w:rPr>
              <w:t xml:space="preserve"> If any of those four is missing it is a diagram, not a method.</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Principle</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Six stages, each with an objective, a problem it solves, activities, deliverables, metrics and an expected outcome. Nothing is decorative.</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Proof</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Every stage names its metric. </w:t>
            </w:r>
            <w:r>
              <w:rPr>
                <w:rFonts w:ascii="Calibri" w:cs="Calibri" w:eastAsia="Calibri" w:hAnsi="Calibri"/>
                <w:b/>
                <w:bCs/>
                <w:color w:val="1A2332"/>
                <w:sz w:val="19"/>
                <w:szCs w:val="19"/>
              </w:rPr>
              <w:t xml:space="preserve">Cost per booked call falls across twelve months. That is the claim we are held to.</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Plan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Position, Build, Create Demand, Capture Demand, Convert, Measure and Optimize. Stated in full.</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Outcome</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contractor can see the whole machine before they buy it, and can tell whether it is working while it runs.</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CTA</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See what this delivers.</w:t>
            </w:r>
          </w:p>
        </w:tc>
      </w:tr>
    </w:tbl>
    <w:p>
      <w:pPr>
        <w:spacing w:after="0" w:before="0"/>
      </w:pPr>
      <w:r>
        <w:rPr>
          <w:rFonts w:ascii="Calibri" w:cs="Calibri" w:eastAsia="Calibri" w:hAnsi="Calibri"/>
          <w:color w:val="43536A"/>
          <w:sz w:val="21"/>
          <w:szCs w:val="21"/>
        </w:rPr>
        <w:t xml:space="preserve"/>
      </w:r>
    </w:p>
    <w:tbl>
      <w:tblPr>
        <w:tblW w:type="dxa" w:w="9360"/>
        <w:tblBorders>
          <w:top w:val="nil"/>
          <w:left w:val="single" w:color="1565C8"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Give every stage its metric on this page.</w:t>
            </w:r>
            <w:r>
              <w:rPr>
                <w:rFonts w:ascii="Calibri" w:cs="Calibri" w:eastAsia="Calibri" w:hAnsi="Calibri"/>
                <w:color w:val="43536A"/>
                <w:sz w:val="21"/>
                <w:szCs w:val="21"/>
              </w:rPr>
              <w:t xml:space="preserve"> A method that cannot be measured is a diagram, and this is the page where a skeptical operator decides which one we are.</w:t>
            </w:r>
          </w:p>
        </w:tc>
      </w:tr>
    </w:tbl>
    <w:p>
      <w:pPr>
        <w:spacing w:after="100" w:before="0"/>
      </w:pPr>
      <w:r>
        <w:rPr>
          <w:rFonts w:ascii="Calibri" w:cs="Calibri" w:eastAsia="Calibri" w:hAnsi="Calibri"/>
          <w:color w:val="43536A"/>
          <w:sz w:val="21"/>
          <w:szCs w:val="21"/>
        </w:rPr>
        <w:t xml:space="preserve"/>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4. PROGRAMS 1: OVERVIEW</w:t>
      </w:r>
    </w:p>
    <w:p>
      <w:pPr>
        <w:spacing w:after="80" w:before="80"/>
      </w:pPr>
      <w:r>
        <w:rPr>
          <w:rFonts w:ascii="Consolas" w:cs="Consolas" w:eastAsia="Consolas" w:hAnsi="Consolas"/>
          <w:color w:val="1A2332"/>
          <w:sz w:val="19"/>
          <w:szCs w:val="19"/>
        </w:rPr>
        <w:t xml:space="preserve">/programs-pricing</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800"/>
        <w:gridCol w:w="7560"/>
      </w:tblGrid>
      <w:tr>
        <w:trPr>
          <w:tblHeader/>
          <w:cantSplit/>
        </w:trPr>
        <w:tc>
          <w:tcPr>
            <w:tcW w:type="dxa" w:w="1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Beat</w:t>
            </w:r>
          </w:p>
        </w:tc>
        <w:tc>
          <w:tcPr>
            <w:tcW w:type="dxa" w:w="7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The argument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Problem</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You have to choose between an agency that builds brand and one that drives leads, and whichever you pick you lose the other half.</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False assumption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 and performance are different budgets with different vendors, and you pick based on what you need this quarter.</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Insight</w:t>
            </w:r>
          </w:p>
        </w:tc>
        <w:tc>
          <w:tcPr>
            <w:tcW w:type="dxa" w:w="75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That is the wrong decision, not the wrong answer.</w:t>
            </w:r>
            <w:r>
              <w:rPr>
                <w:rFonts w:ascii="Calibri" w:cs="Calibri" w:eastAsia="Calibri" w:hAnsi="Calibri"/>
                <w:b w:val="false"/>
                <w:bCs w:val="false"/>
                <w:color w:val="2B2B2B"/>
                <w:sz w:val="19"/>
                <w:szCs w:val="19"/>
              </w:rPr>
              <w:t xml:space="preserve"> Splitting them is why brand agencies cannot show revenue and performance agencies hit a ceiling. Neither is wrong. Both are half.</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Principle</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One partner, one system, both halves sized against each other. The brand half determines how much capture you need to buy.</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Proof</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Content Engine. One long form shoot produces six or more assets across video, article, short form, podcast, email, social and search. We do it on our own site.</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Plan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we do, what you provide, how the two halves interact.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Outcome</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You stop managing vendors and start running a system somebody else operates.</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CTA</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See how it works.</w:t>
            </w:r>
          </w:p>
        </w:tc>
      </w:tr>
    </w:tbl>
    <w:p>
      <w:pPr>
        <w:spacing w:after="0" w:before="0"/>
      </w:pPr>
      <w:r>
        <w:rPr>
          <w:rFonts w:ascii="Calibri" w:cs="Calibri" w:eastAsia="Calibri" w:hAnsi="Calibri"/>
          <w:color w:val="43536A"/>
          <w:sz w:val="21"/>
          <w:szCs w:val="21"/>
        </w:rPr>
        <w:t xml:space="preserve"/>
      </w:r>
    </w:p>
    <w:tbl>
      <w:tblPr>
        <w:tblW w:type="dxa" w:w="9360"/>
        <w:tblBorders>
          <w:top w:val="nil"/>
          <w:left w:val="single" w:color="1565C8"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Who this is not for belongs on this page, stated plainly.</w:t>
            </w:r>
            <w:r>
              <w:rPr>
                <w:rFonts w:ascii="Calibri" w:cs="Calibri" w:eastAsia="Calibri" w:hAnsi="Calibri"/>
                <w:color w:val="43536A"/>
                <w:sz w:val="21"/>
                <w:szCs w:val="21"/>
              </w:rPr>
              <w:t xml:space="preserve"> It is the highest converting thing on it. An operator who reads an honest disqualification and still stays has qualified themselves better than any form.</w:t>
            </w:r>
          </w:p>
        </w:tc>
      </w:tr>
    </w:tbl>
    <w:p>
      <w:pPr>
        <w:spacing w:after="100" w:before="0"/>
      </w:pPr>
      <w:r>
        <w:rPr>
          <w:rFonts w:ascii="Calibri" w:cs="Calibri" w:eastAsia="Calibri" w:hAnsi="Calibri"/>
          <w:color w:val="43536A"/>
          <w:sz w:val="21"/>
          <w:szCs w:val="21"/>
        </w:rPr>
        <w:t xml:space="preserve"/>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5. PROGRAMS 2: HOW IT WORKS</w:t>
      </w:r>
    </w:p>
    <w:p>
      <w:pPr>
        <w:spacing w:after="80" w:before="80"/>
      </w:pPr>
      <w:r>
        <w:rPr>
          <w:rFonts w:ascii="Consolas" w:cs="Consolas" w:eastAsia="Consolas" w:hAnsi="Consolas"/>
          <w:color w:val="1A2332"/>
          <w:sz w:val="19"/>
          <w:szCs w:val="19"/>
        </w:rPr>
        <w:t xml:space="preserve">/programs-pricing/how-it-works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800"/>
        <w:gridCol w:w="7560"/>
      </w:tblGrid>
      <w:tr>
        <w:trPr>
          <w:tblHeader/>
          <w:cantSplit/>
        </w:trPr>
        <w:tc>
          <w:tcPr>
            <w:tcW w:type="dxa" w:w="1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Beat</w:t>
            </w:r>
          </w:p>
        </w:tc>
        <w:tc>
          <w:tcPr>
            <w:tcW w:type="dxa" w:w="7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The argument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Problem</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Agencies go quiet after the contract is signed and you find out in month four whether anything happened.</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False assumption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Marketing is something an agency does to my business while I wait.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Insight</w:t>
            </w:r>
          </w:p>
        </w:tc>
        <w:tc>
          <w:tcPr>
            <w:tcW w:type="dxa" w:w="75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The parts that only you can supply are the parts that cannot be copied.</w:t>
            </w:r>
            <w:r>
              <w:rPr>
                <w:rFonts w:ascii="Calibri" w:cs="Calibri" w:eastAsia="Calibri" w:hAnsi="Calibri"/>
                <w:b w:val="false"/>
                <w:bCs w:val="false"/>
                <w:color w:val="2B2B2B"/>
                <w:sz w:val="19"/>
                <w:szCs w:val="19"/>
              </w:rPr>
              <w:t xml:space="preserve"> Your story, your people, your jobsites, your customers. An agency that never asks you for anything is building something generic.</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Principle</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Three phases. Strategy and alignment, execution and activation, optimization and scale. Brand feeds performance and performance data informs brand.</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Proof</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process walkthrough video and a diagram showing the two halves feeding each other rather than running in parallel.</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Plan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TopServ does, what you provide, what progress looks like at each phase.</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Outcome</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You know what month you are in and what should be true by the end of it.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CTA</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See what this delivers.</w:t>
            </w:r>
          </w:p>
        </w:tc>
      </w:tr>
    </w:tbl>
    <w:p>
      <w:pPr>
        <w:spacing w:after="0" w:before="0"/>
      </w:pPr>
      <w:r>
        <w:rPr>
          <w:rFonts w:ascii="Calibri" w:cs="Calibri" w:eastAsia="Calibri" w:hAnsi="Calibri"/>
          <w:color w:val="43536A"/>
          <w:sz w:val="21"/>
          <w:szCs w:val="21"/>
        </w:rPr>
        <w:t xml:space="preserve"/>
      </w:r>
    </w:p>
    <w:tbl>
      <w:tblPr>
        <w:tblW w:type="dxa" w:w="9360"/>
        <w:tblBorders>
          <w:top w:val="nil"/>
          <w:left w:val="single" w:color="1565C8"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Say what the client owes us and when.</w:t>
            </w:r>
            <w:r>
              <w:rPr>
                <w:rFonts w:ascii="Calibri" w:cs="Calibri" w:eastAsia="Calibri" w:hAnsi="Calibri"/>
                <w:color w:val="43536A"/>
                <w:sz w:val="21"/>
                <w:szCs w:val="21"/>
              </w:rPr>
              <w:t xml:space="preserve"> Photos from jobsites, time on camera, access to their people. Being specific about it here is what makes the physical layer arrive later. Softening it is how a zone campaign starves.</w:t>
            </w:r>
          </w:p>
        </w:tc>
      </w:tr>
    </w:tbl>
    <w:p>
      <w:pPr>
        <w:spacing w:after="100" w:before="0"/>
      </w:pPr>
      <w:r>
        <w:rPr>
          <w:rFonts w:ascii="Calibri" w:cs="Calibri" w:eastAsia="Calibri" w:hAnsi="Calibri"/>
          <w:color w:val="43536A"/>
          <w:sz w:val="21"/>
          <w:szCs w:val="21"/>
        </w:rPr>
        <w:t xml:space="preserve"/>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6. PROGRAMS 3: WHAT THIS DELIVERS</w:t>
      </w:r>
    </w:p>
    <w:p>
      <w:pPr>
        <w:spacing w:after="80" w:before="80"/>
      </w:pPr>
      <w:r>
        <w:rPr>
          <w:rFonts w:ascii="Consolas" w:cs="Consolas" w:eastAsia="Consolas" w:hAnsi="Consolas"/>
          <w:color w:val="1A2332"/>
          <w:sz w:val="19"/>
          <w:szCs w:val="19"/>
        </w:rPr>
        <w:t xml:space="preserve">/programs-pricing/what-this-delivers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800"/>
        <w:gridCol w:w="7560"/>
      </w:tblGrid>
      <w:tr>
        <w:trPr>
          <w:tblHeader/>
          <w:cantSplit/>
        </w:trPr>
        <w:tc>
          <w:tcPr>
            <w:tcW w:type="dxa" w:w="1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Beat</w:t>
            </w:r>
          </w:p>
        </w:tc>
        <w:tc>
          <w:tcPr>
            <w:tcW w:type="dxa" w:w="7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The argument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Problem</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You have been promised results before and got a dashboard instead.</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False assumption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Good marketing shows results in thirty days.</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Insight</w:t>
            </w:r>
          </w:p>
        </w:tc>
        <w:tc>
          <w:tcPr>
            <w:tcW w:type="dxa" w:w="75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Trust takes time and the timeline is not a hedge, it is physics.</w:t>
            </w:r>
            <w:r>
              <w:rPr>
                <w:rFonts w:ascii="Calibri" w:cs="Calibri" w:eastAsia="Calibri" w:hAnsi="Calibri"/>
                <w:b w:val="false"/>
                <w:bCs w:val="false"/>
                <w:color w:val="2B2B2B"/>
                <w:sz w:val="19"/>
                <w:szCs w:val="19"/>
              </w:rPr>
              <w:t xml:space="preserve"> Brand equity compounds. Anyone promising thirty day revenue is selling capture, which is the thing you already have and which already stopped working.</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Principle</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Branded demand converts better than unbranded, at a higher ticket, with less resistance. That is why cost per booked call falls rather than volume simply rising.</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Proof</w:t>
            </w:r>
          </w:p>
        </w:tc>
        <w:tc>
          <w:tcPr>
            <w:tcW w:type="dxa" w:w="75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Cost per booked call across twelve months. That is the number and it is falsifiable.</w:t>
            </w:r>
            <w:r>
              <w:rPr>
                <w:rFonts w:ascii="Calibri" w:cs="Calibri" w:eastAsia="Calibri" w:hAnsi="Calibri"/>
                <w:b w:val="false"/>
                <w:bCs w:val="false"/>
                <w:color w:val="2B2B2B"/>
                <w:sz w:val="19"/>
                <w:szCs w:val="19"/>
              </w:rPr>
              <w:t xml:space="preserve"> Branded search growth and direct navigation alongside it.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Plan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does not happen in thirty days, said first. What improves in ninety, specific and defensible. What changes for the owner.</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Outcome</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same budget produces more, and keeps producing more, instead of costing more every year to stand still.</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CTA</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Understand the investment.</w:t>
            </w:r>
          </w:p>
        </w:tc>
      </w:tr>
    </w:tbl>
    <w:p>
      <w:pPr>
        <w:spacing w:after="0" w:before="0"/>
      </w:pPr>
      <w:r>
        <w:rPr>
          <w:rFonts w:ascii="Calibri" w:cs="Calibri" w:eastAsia="Calibri" w:hAnsi="Calibri"/>
          <w:color w:val="43536A"/>
          <w:sz w:val="21"/>
          <w:szCs w:val="21"/>
        </w:rPr>
        <w:t xml:space="preserve"/>
      </w:r>
    </w:p>
    <w:tbl>
      <w:tblPr>
        <w:tblW w:type="dxa" w:w="9360"/>
        <w:tblBorders>
          <w:top w:val="nil"/>
          <w:left w:val="single" w:color="1565C8"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Open with what does not happen.</w:t>
            </w:r>
            <w:r>
              <w:rPr>
                <w:rFonts w:ascii="Calibri" w:cs="Calibri" w:eastAsia="Calibri" w:hAnsi="Calibri"/>
                <w:color w:val="43536A"/>
                <w:sz w:val="21"/>
                <w:szCs w:val="21"/>
              </w:rPr>
              <w:t xml:space="preserve"> Leading with a realistic disappointment buys the credibility to make every claim after it. No revenue guarantee anywhere on this page.</w:t>
            </w:r>
          </w:p>
        </w:tc>
      </w:tr>
    </w:tbl>
    <w:p>
      <w:pPr>
        <w:spacing w:after="100" w:before="0"/>
      </w:pPr>
      <w:r>
        <w:rPr>
          <w:rFonts w:ascii="Calibri" w:cs="Calibri" w:eastAsia="Calibri" w:hAnsi="Calibri"/>
          <w:color w:val="43536A"/>
          <w:sz w:val="21"/>
          <w:szCs w:val="21"/>
        </w:rPr>
        <w:t xml:space="preserve"/>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7. PROGRAMS 4: PRICING</w:t>
      </w:r>
    </w:p>
    <w:p>
      <w:pPr>
        <w:spacing w:after="80" w:before="80"/>
      </w:pPr>
      <w:r>
        <w:rPr>
          <w:rFonts w:ascii="Consolas" w:cs="Consolas" w:eastAsia="Consolas" w:hAnsi="Consolas"/>
          <w:color w:val="1A2332"/>
          <w:sz w:val="19"/>
          <w:szCs w:val="19"/>
        </w:rPr>
        <w:t xml:space="preserve">/programs-pricing/pricing</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800"/>
        <w:gridCol w:w="7560"/>
      </w:tblGrid>
      <w:tr>
        <w:trPr>
          <w:tblHeader/>
          <w:cantSplit/>
        </w:trPr>
        <w:tc>
          <w:tcPr>
            <w:tcW w:type="dxa" w:w="1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Beat</w:t>
            </w:r>
          </w:p>
        </w:tc>
        <w:tc>
          <w:tcPr>
            <w:tcW w:type="dxa" w:w="7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The argument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Problem</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Nobody will tell you what this costs until you sit through a pitch, and when they do it is a number they made up for you.</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False assumption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 real agency publishes its packages, and one that will not is hiding something.</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Insight</w:t>
            </w:r>
          </w:p>
        </w:tc>
        <w:tc>
          <w:tcPr>
            <w:tcW w:type="dxa" w:w="75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A published table means the price was set before anyone looked at your business.</w:t>
            </w:r>
            <w:r>
              <w:rPr>
                <w:rFonts w:ascii="Calibri" w:cs="Calibri" w:eastAsia="Calibri" w:hAnsi="Calibri"/>
                <w:b w:val="false"/>
                <w:bCs w:val="false"/>
                <w:color w:val="2B2B2B"/>
                <w:sz w:val="19"/>
                <w:szCs w:val="19"/>
              </w:rPr>
              <w:t xml:space="preserve"> Two contractors in the same city with the same revenue do not need the same thing, and pricing them identically means one is overpaying and the other is underserved.</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Principle</w:t>
            </w:r>
          </w:p>
        </w:tc>
        <w:tc>
          <w:tcPr>
            <w:tcW w:type="dxa" w:w="75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The program is assigned by diagnosis, not chosen from a menu.</w:t>
            </w:r>
            <w:r>
              <w:rPr>
                <w:rFonts w:ascii="Calibri" w:cs="Calibri" w:eastAsia="Calibri" w:hAnsi="Calibri"/>
                <w:b w:val="false"/>
                <w:bCs w:val="false"/>
                <w:color w:val="2B2B2B"/>
                <w:sz w:val="19"/>
                <w:szCs w:val="19"/>
              </w:rPr>
              <w:t xml:space="preserve"> Market size, competitive saturation, current brand position, service area and video scope set the number. The assessment produces the scope and the scope produces the price.</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Proof</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floor is $1,000 a week. A one-time $10,000 activation in month one covering the two day shoot, travel and the first month of build. Those are real and they are stated up front.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Plan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How the number gets reached, and what it replaces. This is multiple vendors and an internal hire.</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Outcome</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You pay for the scope your market actually requires, and you know why.</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CTA</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Get your Brand Grade.</w:t>
            </w:r>
          </w:p>
        </w:tc>
      </w:tr>
    </w:tbl>
    <w:p>
      <w:pPr>
        <w:spacing w:after="0" w:before="0"/>
      </w:pPr>
      <w:r>
        <w:rPr>
          <w:rFonts w:ascii="Calibri" w:cs="Calibri" w:eastAsia="Calibri" w:hAnsi="Calibri"/>
          <w:color w:val="43536A"/>
          <w:sz w:val="21"/>
          <w:szCs w:val="21"/>
        </w:rPr>
        <w:t xml:space="preserve"/>
      </w:r>
    </w:p>
    <w:tbl>
      <w:tblPr>
        <w:tblW w:type="dxa" w:w="9360"/>
        <w:tblBorders>
          <w:top w:val="nil"/>
          <w:left w:val="single" w:color="1565C8"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No table, no monthly figure, no annual figure.</w:t>
            </w:r>
            <w:r>
              <w:rPr>
                <w:rFonts w:ascii="Calibri" w:cs="Calibri" w:eastAsia="Calibri" w:hAnsi="Calibri"/>
                <w:color w:val="43536A"/>
                <w:sz w:val="21"/>
                <w:szCs w:val="21"/>
              </w:rPr>
              <w:t xml:space="preserve"> Not on the page, not in a deck, not in an email.</w:t>
            </w:r>
          </w:p>
          <w:p>
            <w:pPr>
              <w:spacing w:after="40" w:before="40"/>
            </w:pPr>
            <w:r>
              <w:rPr>
                <w:rFonts w:ascii="Calibri" w:cs="Calibri" w:eastAsia="Calibri" w:hAnsi="Calibri"/>
                <w:b/>
                <w:bCs/>
                <w:color w:val="1A2332"/>
                <w:sz w:val="21"/>
                <w:szCs w:val="21"/>
              </w:rPr>
              <w:t xml:space="preserve">Make the absence of a table the argument, not an omission.</w:t>
            </w:r>
            <w:r>
              <w:rPr>
                <w:rFonts w:ascii="Calibri" w:cs="Calibri" w:eastAsia="Calibri" w:hAnsi="Calibri"/>
                <w:color w:val="43536A"/>
                <w:sz w:val="21"/>
                <w:szCs w:val="21"/>
              </w:rPr>
              <w:t xml:space="preserve"> Every competitor sells from a menu. A menu means the price was set before they looked at you. That is the strongest line on the page and it should not be buried.</w:t>
            </w:r>
          </w:p>
          <w:p>
            <w:pPr>
              <w:spacing w:after="40" w:before="40"/>
            </w:pPr>
            <w:r>
              <w:rPr>
                <w:rFonts w:ascii="Calibri" w:cs="Calibri" w:eastAsia="Calibri" w:hAnsi="Calibri"/>
                <w:color w:val="43536A"/>
                <w:sz w:val="21"/>
                <w:szCs w:val="21"/>
              </w:rPr>
              <w:t xml:space="preserve">Also state plainly when we are not a fit. This page should disqualify price shoppers and short term thinkers, and it should do it on purpose.</w:t>
            </w:r>
          </w:p>
        </w:tc>
      </w:tr>
    </w:tbl>
    <w:p>
      <w:pPr>
        <w:spacing w:after="100" w:before="0"/>
      </w:pPr>
      <w:r>
        <w:rPr>
          <w:rFonts w:ascii="Calibri" w:cs="Calibri" w:eastAsia="Calibri" w:hAnsi="Calibri"/>
          <w:color w:val="43536A"/>
          <w:sz w:val="21"/>
          <w:szCs w:val="21"/>
        </w:rPr>
        <w:t xml:space="preserve"/>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8. PROGRAMS 5: SUCCESS STORIES</w:t>
      </w:r>
    </w:p>
    <w:p>
      <w:pPr>
        <w:spacing w:after="80" w:before="80"/>
      </w:pPr>
      <w:r>
        <w:rPr>
          <w:rFonts w:ascii="Consolas" w:cs="Consolas" w:eastAsia="Consolas" w:hAnsi="Consolas"/>
          <w:color w:val="1A2332"/>
          <w:sz w:val="19"/>
          <w:szCs w:val="19"/>
        </w:rPr>
        <w:t xml:space="preserve">/programs-pricing/success-stories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800"/>
        <w:gridCol w:w="7560"/>
      </w:tblGrid>
      <w:tr>
        <w:trPr>
          <w:tblHeader/>
          <w:cantSplit/>
        </w:trPr>
        <w:tc>
          <w:tcPr>
            <w:tcW w:type="dxa" w:w="1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Beat</w:t>
            </w:r>
          </w:p>
        </w:tc>
        <w:tc>
          <w:tcPr>
            <w:tcW w:type="dxa" w:w="7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The argument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Problem</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Every agency has case studies and they all say the same thing about traffic.</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False assumption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Results are proof.</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Insight</w:t>
            </w:r>
          </w:p>
        </w:tc>
        <w:tc>
          <w:tcPr>
            <w:tcW w:type="dxa" w:w="75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A number without a starting position is not proof.</w:t>
            </w:r>
            <w:r>
              <w:rPr>
                <w:rFonts w:ascii="Calibri" w:cs="Calibri" w:eastAsia="Calibri" w:hAnsi="Calibri"/>
                <w:b w:val="false"/>
                <w:bCs w:val="false"/>
                <w:color w:val="2B2B2B"/>
                <w:sz w:val="19"/>
                <w:szCs w:val="19"/>
              </w:rPr>
              <w:t xml:space="preserve"> Forty three percent more traffic tells you nothing about whether the phone rang. What matters is what the company was before, what was actually wrong, and what changed.</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Principle</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Every story shows brand lift and performance lift together, because either one alone is the thing we argue against.</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Proof</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Situation, brand problem, strategy, demand creation, demand capture, business outcome, brand outcome. Same structure every time so they can be compared.</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Plan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Two to three client conversation videos at three to five minutes, in the client’s own words.</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Outcome</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 visitor recognizes their own business in at least one of these before they reach the bottom.</w:t>
            </w:r>
          </w:p>
        </w:tc>
      </w:tr>
      <w:tr>
        <w:trPr>
          <w:cantSplit/>
        </w:trP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CTA</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Schedule a call.</w:t>
            </w:r>
          </w:p>
        </w:tc>
      </w:tr>
    </w:tbl>
    <w:p>
      <w:pPr>
        <w:spacing w:after="0" w:before="0"/>
      </w:pPr>
      <w:r>
        <w:rPr>
          <w:rFonts w:ascii="Calibri" w:cs="Calibri" w:eastAsia="Calibri" w:hAnsi="Calibri"/>
          <w:color w:val="43536A"/>
          <w:sz w:val="21"/>
          <w:szCs w:val="21"/>
        </w:rPr>
        <w:t xml:space="preserve"/>
      </w:r>
    </w:p>
    <w:tbl>
      <w:tblPr>
        <w:tblW w:type="dxa" w:w="9360"/>
        <w:tblBorders>
          <w:top w:val="nil"/>
          <w:left w:val="single" w:color="1565C8"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Which clients can be named publicly is not settled yet.</w:t>
            </w:r>
            <w:r>
              <w:rPr>
                <w:rFonts w:ascii="Calibri" w:cs="Calibri" w:eastAsia="Calibri" w:hAnsi="Calibri"/>
                <w:color w:val="43536A"/>
                <w:sz w:val="21"/>
                <w:szCs w:val="21"/>
              </w:rPr>
              <w:t xml:space="preserve"> Write this page structurally with placeholders and do not let it hold up the other seven. At minimum assume market and outcome without company names, because an anonymized transformation story still carries the argument.</w:t>
            </w:r>
          </w:p>
        </w:tc>
      </w:tr>
    </w:tbl>
    <w:p>
      <w:pPr>
        <w:spacing w:after="100" w:before="0"/>
      </w:pPr>
      <w:r>
        <w:rPr>
          <w:rFonts w:ascii="Calibri" w:cs="Calibri" w:eastAsia="Calibri" w:hAnsi="Calibri"/>
          <w:color w:val="43536A"/>
          <w:sz w:val="21"/>
          <w:szCs w:val="21"/>
        </w:rPr>
        <w:t xml:space="preserve"/>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HOW TO USE THIS</w:t>
      </w:r>
    </w:p>
    <w:p>
      <w:pPr>
        <w:spacing w:after="100" w:before="260"/>
      </w:pPr>
      <w:r>
        <w:rPr>
          <w:rFonts w:ascii="Calibri" w:cs="Calibri" w:eastAsia="Calibri" w:hAnsi="Calibri"/>
          <w:b/>
          <w:bCs/>
          <w:color w:val="1565C8"/>
          <w:sz w:val="24"/>
          <w:szCs w:val="24"/>
        </w:rPr>
        <w:t xml:space="preserve">The positioning hierarchy, on every page</w:t>
      </w:r>
    </w:p>
    <w:p>
      <w:pPr>
        <w:spacing w:after="80" w:before="80"/>
      </w:pPr>
      <w:r>
        <w:rPr>
          <w:rFonts w:ascii="Calibri" w:cs="Calibri" w:eastAsia="Calibri" w:hAnsi="Calibri"/>
          <w:color w:val="43536A"/>
          <w:sz w:val="21"/>
          <w:szCs w:val="21"/>
        </w:rPr>
        <w:t xml:space="preserve">Section 9 of JB’s framework and he calls it extremely important. </w:t>
      </w:r>
      <w:r>
        <w:rPr>
          <w:rFonts w:ascii="Calibri" w:cs="Calibri" w:eastAsia="Calibri" w:hAnsi="Calibri"/>
          <w:b/>
          <w:bCs/>
          <w:color w:val="1A2332"/>
          <w:sz w:val="21"/>
          <w:szCs w:val="21"/>
        </w:rPr>
        <w:t xml:space="preserve">Every major page reinforces this order and never inverts it.</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200"/>
        <w:gridCol w:w="7160"/>
      </w:tblGrid>
      <w:tr>
        <w:trPr>
          <w:tblHeader/>
          <w:cantSplit/>
        </w:trPr>
        <w:tc>
          <w:tcPr>
            <w:tcW w:type="dxa" w:w="22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Level</w:t>
            </w:r>
          </w:p>
        </w:tc>
        <w:tc>
          <w:tcPr>
            <w:tcW w:type="dxa" w:w="71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What it is</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 Category</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BrandFormance. What is it, why does it exist, why is the traditional approach incomplete</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 Outcome</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Become the obvious choice. What changes for the contractor</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 Market strategy</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Become five mile famous. How familiarity and preference get created</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4. System</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BrandFormance method. How TopServ executes it</w:t>
            </w:r>
          </w:p>
        </w:tc>
      </w:tr>
      <w:tr>
        <w:trPr>
          <w:cantSplit/>
        </w:trP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5. Capabilities</w:t>
            </w:r>
          </w:p>
        </w:tc>
        <w:tc>
          <w:tcPr>
            <w:tcW w:type="dxa" w:w="7160"/>
            <w:tcMar>
              <w:top w:type="dxa" w:w="60"/>
              <w:left w:type="dxa" w:w="100"/>
              <w:bottom w:type="dxa" w:w="60"/>
              <w:right w:type="dxa" w:w="100"/>
            </w:tcMar>
          </w:tcPr>
          <w:p>
            <w:pPr>
              <w:spacing w:after="0" w:before="0"/>
              <w:jc w:val="right"/>
            </w:pPr>
            <w:r>
              <w:rPr>
                <w:rFonts w:ascii="Calibri" w:cs="Calibri" w:eastAsia="Calibri" w:hAnsi="Calibri"/>
                <w:b/>
                <w:bCs/>
                <w:color w:val="1A2332"/>
                <w:sz w:val="19"/>
                <w:szCs w:val="19"/>
              </w:rPr>
              <w:t xml:space="preserve">Only now</w:t>
            </w:r>
            <w:r>
              <w:rPr>
                <w:rFonts w:ascii="Calibri" w:cs="Calibri" w:eastAsia="Calibri" w:hAnsi="Calibri"/>
                <w:b w:val="false"/>
                <w:bCs w:val="false"/>
                <w:color w:val="2B2B2B"/>
                <w:sz w:val="19"/>
                <w:szCs w:val="19"/>
              </w:rPr>
              <w:t xml:space="preserve"> do we name SEO, PPC, LSA, Meta, YouTube, video, OTT, email, reputation, funnels, content, tracking</w:t>
            </w:r>
          </w:p>
        </w:tc>
      </w:tr>
    </w:tbl>
    <w:p>
      <w:pPr>
        <w:spacing w:after="0" w:before="0"/>
      </w:pPr>
      <w:r>
        <w:rPr>
          <w:rFonts w:ascii="Calibri" w:cs="Calibri" w:eastAsia="Calibri" w:hAnsi="Calibri"/>
          <w:color w:val="43536A"/>
          <w:sz w:val="21"/>
          <w:szCs w:val="21"/>
        </w:rPr>
        <w:t xml:space="preserve"/>
      </w:r>
    </w:p>
    <w:p>
      <w:pPr>
        <w:spacing w:after="80" w:before="80"/>
      </w:pPr>
      <w:r>
        <w:rPr>
          <w:rFonts w:ascii="Calibri" w:cs="Calibri" w:eastAsia="Calibri" w:hAnsi="Calibri"/>
          <w:b/>
          <w:bCs/>
          <w:color w:val="1A2332"/>
          <w:sz w:val="21"/>
          <w:szCs w:val="21"/>
        </w:rPr>
        <w:t xml:space="preserve">The first impression must never be that TopServ sells SEO and PPC.</w:t>
      </w:r>
      <w:r>
        <w:rPr>
          <w:rFonts w:ascii="Calibri" w:cs="Calibri" w:eastAsia="Calibri" w:hAnsi="Calibri"/>
          <w:color w:val="43536A"/>
          <w:sz w:val="21"/>
          <w:szCs w:val="21"/>
        </w:rPr>
        <w:t xml:space="preserve"> It is that TopServ created a different approach to home service marketing called BrandFormance.</w:t>
      </w:r>
    </w:p>
    <w:p>
      <w:pPr>
        <w:spacing w:after="100" w:before="260"/>
      </w:pPr>
      <w:r>
        <w:rPr>
          <w:rFonts w:ascii="Calibri" w:cs="Calibri" w:eastAsia="Calibri" w:hAnsi="Calibri"/>
          <w:b/>
          <w:bCs/>
          <w:color w:val="1565C8"/>
          <w:sz w:val="24"/>
          <w:szCs w:val="24"/>
        </w:rPr>
        <w:t xml:space="preserve">The order of work</w:t>
      </w:r>
    </w:p>
    <w:p>
      <w:pPr>
        <w:spacing w:after="80" w:before="80"/>
      </w:pPr>
      <w:r>
        <w:rPr>
          <w:rFonts w:ascii="Calibri" w:cs="Calibri" w:eastAsia="Calibri" w:hAnsi="Calibri"/>
          <w:b/>
          <w:bCs/>
          <w:color w:val="1A2332"/>
          <w:sz w:val="21"/>
          <w:szCs w:val="21"/>
        </w:rPr>
        <w:t xml:space="preserve">Argument, then structure, then copy and design together.</w:t>
      </w:r>
      <w:r>
        <w:rPr>
          <w:rFonts w:ascii="Calibri" w:cs="Calibri" w:eastAsia="Calibri" w:hAnsi="Calibri"/>
          <w:color w:val="43536A"/>
          <w:sz w:val="21"/>
          <w:szCs w:val="21"/>
        </w:rPr>
        <w:t xml:space="preserve"> The first is done, it is above. Alejandro sets structure and SEO against each spine. Then copy and layout run in parallel, both serving a fixed argument.</w:t>
      </w:r>
    </w:p>
    <w:p>
      <w:pPr>
        <w:spacing w:after="100" w:before="260"/>
      </w:pPr>
      <w:r>
        <w:rPr>
          <w:rFonts w:ascii="Calibri" w:cs="Calibri" w:eastAsia="Calibri" w:hAnsi="Calibri"/>
          <w:b/>
          <w:bCs/>
          <w:color w:val="1565C8"/>
          <w:sz w:val="24"/>
          <w:szCs w:val="24"/>
        </w:rPr>
        <w:t xml:space="preserve">The gate before anything reaches Ryan</w:t>
      </w:r>
    </w:p>
    <w:p>
      <w:pPr>
        <w:spacing w:after="80" w:before="80"/>
      </w:pPr>
      <w:r>
        <w:rPr>
          <w:rFonts w:ascii="Calibri" w:cs="Calibri" w:eastAsia="Calibri" w:hAnsi="Calibri"/>
          <w:b/>
          <w:bCs/>
          <w:color w:val="1A2332"/>
          <w:sz w:val="21"/>
          <w:szCs w:val="21"/>
        </w:rPr>
        <w:t xml:space="preserve">The swap test.</w:t>
      </w:r>
      <w:r>
        <w:rPr>
          <w:rFonts w:ascii="Calibri" w:cs="Calibri" w:eastAsia="Calibri" w:hAnsi="Calibri"/>
          <w:color w:val="43536A"/>
          <w:sz w:val="21"/>
          <w:szCs w:val="21"/>
        </w:rPr>
        <w:t xml:space="preserve"> Could another home service marketing agency put its logo on this page without substantially changing the copy? If yes, it is not done.</w:t>
      </w:r>
    </w:p>
    <w:p>
      <w:pPr>
        <w:spacing w:after="80" w:before="80"/>
      </w:pPr>
      <w:r>
        <w:rPr>
          <w:rFonts w:ascii="Calibri" w:cs="Calibri" w:eastAsia="Calibri" w:hAnsi="Calibri"/>
          <w:color w:val="43536A"/>
          <w:sz w:val="21"/>
          <w:szCs w:val="21"/>
        </w:rPr>
        <w:t xml:space="preserve">Then five more from JB’s framework. Does the page teach something about BrandFormance. Does the visitor understand why it differs from ordinary digital marketing. Does it explain an outcome rather than list services. Is there evidence near every major claim. Does the visitor know what to do next.</w:t>
      </w:r>
    </w:p>
    <w:p>
      <w:pPr>
        <w:spacing w:after="100" w:before="260"/>
      </w:pPr>
      <w:r>
        <w:rPr>
          <w:rFonts w:ascii="Calibri" w:cs="Calibri" w:eastAsia="Calibri" w:hAnsi="Calibri"/>
          <w:b/>
          <w:bCs/>
          <w:color w:val="1565C8"/>
          <w:sz w:val="24"/>
          <w:szCs w:val="24"/>
        </w:rPr>
        <w:t xml:space="preserve">What to say and what never to say</w:t>
      </w:r>
    </w:p>
    <w:p>
      <w:pPr>
        <w:spacing w:after="80" w:before="80"/>
      </w:pPr>
      <w:r>
        <w:rPr>
          <w:rFonts w:ascii="Calibri" w:cs="Calibri" w:eastAsia="Calibri" w:hAnsi="Calibri"/>
          <w:b/>
          <w:bCs/>
          <w:color w:val="1A2332"/>
          <w:sz w:val="21"/>
          <w:szCs w:val="21"/>
        </w:rPr>
        <w:t xml:space="preserve">Recurring language, used deliberately and not crammed together.</w:t>
      </w:r>
      <w:r>
        <w:rPr>
          <w:rFonts w:ascii="Calibri" w:cs="Calibri" w:eastAsia="Calibri" w:hAnsi="Calibri"/>
          <w:color w:val="43536A"/>
          <w:sz w:val="21"/>
          <w:szCs w:val="21"/>
        </w:rPr>
        <w:t xml:space="preserve"> Being found is not the same as being chosen. Performance captures demand, brand creates demand. Own attention, do not just rent it. Become five mile famous. From another option to the obvious choice. Customers buy the company they know before the company they find.</w:t>
      </w:r>
    </w:p>
    <w:p>
      <w:pPr>
        <w:spacing w:after="80" w:before="80"/>
      </w:pPr>
      <w:r>
        <w:rPr>
          <w:rFonts w:ascii="Calibri" w:cs="Calibri" w:eastAsia="Calibri" w:hAnsi="Calibri"/>
          <w:b/>
          <w:bCs/>
          <w:color w:val="1A2332"/>
          <w:sz w:val="21"/>
          <w:szCs w:val="21"/>
        </w:rPr>
        <w:t xml:space="preserve">Never:</w:t>
      </w:r>
      <w:r>
        <w:rPr>
          <w:rFonts w:ascii="Calibri" w:cs="Calibri" w:eastAsia="Calibri" w:hAnsi="Calibri"/>
          <w:color w:val="43536A"/>
          <w:sz w:val="21"/>
          <w:szCs w:val="21"/>
        </w:rPr>
        <w:t xml:space="preserve"> unlock your potential, elevate your business, transform your digital presence, innovative digital solutions, results driven marketing, your partner for growth, full service digital marketing. </w:t>
      </w:r>
      <w:r>
        <w:rPr>
          <w:rFonts w:ascii="Calibri" w:cs="Calibri" w:eastAsia="Calibri" w:hAnsi="Calibri"/>
          <w:b/>
          <w:bCs/>
          <w:color w:val="1A2332"/>
          <w:sz w:val="21"/>
          <w:szCs w:val="21"/>
        </w:rPr>
        <w:t xml:space="preserve">Those headlines belong to a thousand agencies.</w:t>
      </w:r>
      <w:r>
        <w:rPr>
          <w:rFonts w:ascii="Calibri" w:cs="Calibri" w:eastAsia="Calibri" w:hAnsi="Calibri"/>
          <w:color w:val="43536A"/>
          <w:sz w:val="21"/>
          <w:szCs w:val="21"/>
        </w:rPr>
        <w:t xml:space="preserve"> TopServ copy should be recognizable with the logo removed.</w:t>
      </w:r>
    </w:p>
    <w:p>
      <w:pPr>
        <w:spacing w:after="80" w:before="80"/>
      </w:pPr>
      <w:r>
        <w:rPr>
          <w:rFonts w:ascii="Calibri" w:cs="Calibri" w:eastAsia="Calibri" w:hAnsi="Calibri"/>
          <w:color w:val="43536A"/>
          <w:sz w:val="21"/>
          <w:szCs w:val="21"/>
        </w:rPr>
        <w:t xml:space="preserve">No em dashes. Numerals rather than spelled out numbers. Every claim with proof nearby.</w:t>
      </w:r>
    </w:p>
    <w:p>
      <w:pPr>
        <w:spacing w:after="100" w:before="260"/>
      </w:pPr>
      <w:r>
        <w:rPr>
          <w:rFonts w:ascii="Calibri" w:cs="Calibri" w:eastAsia="Calibri" w:hAnsi="Calibri"/>
          <w:b/>
          <w:bCs/>
          <w:color w:val="1565C8"/>
          <w:sz w:val="24"/>
          <w:szCs w:val="24"/>
        </w:rPr>
        <w:t xml:space="preserve">The four grades, worded exactly as the book words them</w:t>
      </w:r>
    </w:p>
    <w:p>
      <w:pPr>
        <w:spacing w:after="80" w:before="80"/>
      </w:pPr>
      <w:r>
        <w:rPr>
          <w:rFonts w:ascii="Calibri" w:cs="Calibri" w:eastAsia="Calibri" w:hAnsi="Calibri"/>
          <w:color w:val="43536A"/>
          <w:sz w:val="21"/>
          <w:szCs w:val="21"/>
        </w:rPr>
        <w:t xml:space="preserve">The public assessment returns one of four. </w:t>
      </w:r>
      <w:r>
        <w:rPr>
          <w:rFonts w:ascii="Calibri" w:cs="Calibri" w:eastAsia="Calibri" w:hAnsi="Calibri"/>
          <w:b/>
          <w:bCs/>
          <w:color w:val="1A2332"/>
          <w:sz w:val="21"/>
          <w:szCs w:val="21"/>
        </w:rPr>
        <w:t xml:space="preserve">Use these labels verbatim in every CTA, result screen and piece of copy.</w:t>
      </w:r>
      <w:r>
        <w:rPr>
          <w:rFonts w:ascii="Calibri" w:cs="Calibri" w:eastAsia="Calibri" w:hAnsi="Calibri"/>
          <w:color w:val="43536A"/>
          <w:sz w:val="21"/>
          <w:szCs w:val="21"/>
        </w:rPr>
        <w:t xml:space="preserve"> They are the four levels of brand equity from JB’s book, which is the entire reason we can publish them.</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6760"/>
      </w:tblGrid>
      <w:tr>
        <w:trPr>
          <w:tblHeader/>
          <w:cantSplit/>
        </w:trPr>
        <w:tc>
          <w:tcPr>
            <w:tcW w:type="dxa" w:w="2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Grade</w:t>
            </w:r>
          </w:p>
        </w:tc>
        <w:tc>
          <w:tcPr>
            <w:tcW w:type="dxa" w:w="6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What the visitor is told</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No Brand Equity</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Effectively invisible. Prospects do not recognize the name and pick at random from a list.</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Name Recognition</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They recognize the name but do not care about it. Familiarity without preference.</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Household Name</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Searched for by name. The category search gets skipped entirely.</w:t>
            </w:r>
          </w:p>
        </w:tc>
      </w:tr>
      <w:tr>
        <w:trPr>
          <w:cantSplit/>
        </w:trPr>
        <w:tc>
          <w:tcPr>
            <w:tcW w:type="dxa" w:w="2600"/>
            <w:tcMar>
              <w:top w:type="dxa" w:w="60"/>
              <w:left w:type="dxa" w:w="100"/>
              <w:bottom w:type="dxa" w:w="60"/>
              <w:right w:type="dxa" w:w="100"/>
            </w:tcMar>
          </w:tcPr>
          <w:p>
            <w:pPr>
              <w:spacing w:after="0" w:before="0"/>
              <w:jc w:val="left"/>
            </w:pPr>
            <w:r>
              <w:rPr>
                <w:rFonts w:ascii="Calibri" w:cs="Calibri" w:eastAsia="Calibri" w:hAnsi="Calibri"/>
                <w:b/>
                <w:bCs/>
                <w:color w:val="1A2332"/>
                <w:sz w:val="19"/>
                <w:szCs w:val="19"/>
              </w:rPr>
              <w:t xml:space="preserve">Negative Brand Equity</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Actively chosen against. Fix the operation before spending another dollar on marketing.</w:t>
            </w:r>
          </w:p>
        </w:tc>
      </w:tr>
    </w:tbl>
    <w:p>
      <w:pPr>
        <w:spacing w:after="0" w:before="0"/>
      </w:pPr>
      <w:r>
        <w:rPr>
          <w:rFonts w:ascii="Calibri" w:cs="Calibri" w:eastAsia="Calibri" w:hAnsi="Calibri"/>
          <w:color w:val="43536A"/>
          <w:sz w:val="21"/>
          <w:szCs w:val="21"/>
        </w:rPr>
        <w:t xml:space="preserve"/>
      </w:r>
    </w:p>
    <w:p>
      <w:pPr>
        <w:spacing w:after="80" w:before="80"/>
      </w:pPr>
      <w:r>
        <w:rPr>
          <w:rFonts w:ascii="Calibri" w:cs="Calibri" w:eastAsia="Calibri" w:hAnsi="Calibri"/>
          <w:b/>
          <w:bCs/>
          <w:color w:val="1A2332"/>
          <w:sz w:val="21"/>
          <w:szCs w:val="21"/>
        </w:rPr>
        <w:t xml:space="preserve">Do not soften No Brand Equity into something friendlier.</w:t>
      </w:r>
      <w:r>
        <w:rPr>
          <w:rFonts w:ascii="Calibri" w:cs="Calibri" w:eastAsia="Calibri" w:hAnsi="Calibri"/>
          <w:color w:val="43536A"/>
          <w:sz w:val="21"/>
          <w:szCs w:val="21"/>
        </w:rPr>
        <w:t xml:space="preserve"> A contractor who reads it and recognizes himself is the entire point of the assessment, and the honest label is what makes him book.</w:t>
      </w:r>
    </w:p>
    <w:p>
      <w:pPr>
        <w:spacing w:after="100" w:before="260"/>
      </w:pPr>
      <w:r>
        <w:rPr>
          <w:rFonts w:ascii="Calibri" w:cs="Calibri" w:eastAsia="Calibri" w:hAnsi="Calibri"/>
          <w:b/>
          <w:bCs/>
          <w:color w:val="1565C8"/>
          <w:sz w:val="24"/>
          <w:szCs w:val="24"/>
        </w:rPr>
        <w:t xml:space="preserve">Two places JB’s framework is now stale, so you are not confused when you read it</w:t>
      </w:r>
    </w:p>
    <w:p>
      <w:pPr>
        <w:spacing w:after="80" w:before="80"/>
      </w:pPr>
      <w:r>
        <w:rPr>
          <w:rFonts w:ascii="Calibri" w:cs="Calibri" w:eastAsia="Calibri" w:hAnsi="Calibri"/>
          <w:b/>
          <w:bCs/>
          <w:color w:val="1A2332"/>
          <w:sz w:val="21"/>
          <w:szCs w:val="21"/>
        </w:rPr>
        <w:t xml:space="preserve">His framework says Get Your Brand Score and puts it at step 2.</w:t>
      </w:r>
      <w:r>
        <w:rPr>
          <w:rFonts w:ascii="Calibri" w:cs="Calibri" w:eastAsia="Calibri" w:hAnsi="Calibri"/>
          <w:color w:val="43536A"/>
          <w:sz w:val="21"/>
          <w:szCs w:val="21"/>
        </w:rPr>
        <w:t xml:space="preserve"> The spec says Brand Grade at step 3, and the public artifact is a grade rather than a number. </w:t>
      </w:r>
      <w:r>
        <w:rPr>
          <w:rFonts w:ascii="Calibri" w:cs="Calibri" w:eastAsia="Calibri" w:hAnsi="Calibri"/>
          <w:b/>
          <w:bCs/>
          <w:color w:val="1A2332"/>
          <w:sz w:val="21"/>
          <w:szCs w:val="21"/>
        </w:rPr>
        <w:t xml:space="preserve">The spec governs.</w:t>
      </w:r>
      <w:r>
        <w:rPr>
          <w:rFonts w:ascii="Calibri" w:cs="Calibri" w:eastAsia="Calibri" w:hAnsi="Calibri"/>
          <w:color w:val="43536A"/>
          <w:sz w:val="21"/>
          <w:szCs w:val="21"/>
        </w:rPr>
        <w:t xml:space="preserve"> His document predates that decision.</w:t>
      </w:r>
    </w:p>
    <w:p>
      <w:pPr>
        <w:spacing w:after="80" w:before="80"/>
      </w:pPr>
      <w:r>
        <w:rPr>
          <w:rFonts w:ascii="Calibri" w:cs="Calibri" w:eastAsia="Calibri" w:hAnsi="Calibri"/>
          <w:b/>
          <w:bCs/>
          <w:color w:val="1A2332"/>
          <w:sz w:val="21"/>
          <w:szCs w:val="21"/>
        </w:rPr>
        <w:t xml:space="preserve">His framework suggests </w:t>
      </w:r>
      <w:r>
        <w:rPr>
          <w:rFonts w:ascii="Consolas" w:cs="Consolas" w:eastAsia="Consolas" w:hAnsi="Consolas"/>
          <w:b/>
          <w:bCs/>
          <w:color w:val="1A2332"/>
          <w:sz w:val="19"/>
          <w:szCs w:val="19"/>
        </w:rPr>
        <w:t xml:space="preserve">/brandformance-method</w:t>
      </w:r>
      <w:r>
        <w:rPr>
          <w:rFonts w:ascii="Calibri" w:cs="Calibri" w:eastAsia="Calibri" w:hAnsi="Calibri"/>
          <w:b/>
          <w:bCs/>
          <w:color w:val="1A2332"/>
          <w:sz w:val="21"/>
          <w:szCs w:val="21"/>
        </w:rPr>
        <w:t xml:space="preserve"> for the Method page.</w:t>
      </w:r>
      <w:r>
        <w:rPr>
          <w:rFonts w:ascii="Calibri" w:cs="Calibri" w:eastAsia="Calibri" w:hAnsi="Calibri"/>
          <w:color w:val="43536A"/>
          <w:sz w:val="21"/>
          <w:szCs w:val="21"/>
        </w:rPr>
        <w:t xml:space="preserve"> The spec says </w:t>
      </w:r>
      <w:r>
        <w:rPr>
          <w:rFonts w:ascii="Consolas" w:cs="Consolas" w:eastAsia="Consolas" w:hAnsi="Consolas"/>
          <w:color w:val="1A2332"/>
          <w:sz w:val="19"/>
          <w:szCs w:val="19"/>
        </w:rPr>
        <w:t xml:space="preserve">/method</w:t>
      </w:r>
      <w:r>
        <w:rPr>
          <w:rFonts w:ascii="Calibri" w:cs="Calibri" w:eastAsia="Calibri" w:hAnsi="Calibri"/>
          <w:color w:val="43536A"/>
          <w:sz w:val="21"/>
          <w:szCs w:val="21"/>
        </w:rPr>
        <w:t xml:space="preserve">. </w:t>
      </w:r>
      <w:r>
        <w:rPr>
          <w:rFonts w:ascii="Calibri" w:cs="Calibri" w:eastAsia="Calibri" w:hAnsi="Calibri"/>
          <w:b/>
          <w:bCs/>
          <w:color w:val="1A2332"/>
          <w:sz w:val="21"/>
          <w:szCs w:val="21"/>
        </w:rPr>
        <w:t xml:space="preserve">The spec governs.</w:t>
      </w:r>
      <w:r>
        <w:rPr>
          <w:rFonts w:ascii="Calibri" w:cs="Calibri" w:eastAsia="Calibri" w:hAnsi="Calibri"/>
          <w:color w:val="43536A"/>
          <w:sz w:val="21"/>
          <w:szCs w:val="21"/>
        </w:rPr>
        <w:t xml:space="preserve"> Everything else in his framework stands and it is the messaging foundation.</w:t>
      </w:r>
    </w:p>
    <w:p>
      <w:pPr>
        <w:spacing w:after="100" w:before="260"/>
      </w:pPr>
      <w:r>
        <w:rPr>
          <w:rFonts w:ascii="Calibri" w:cs="Calibri" w:eastAsia="Calibri" w:hAnsi="Calibri"/>
          <w:b/>
          <w:bCs/>
          <w:color w:val="1565C8"/>
          <w:sz w:val="24"/>
          <w:szCs w:val="24"/>
        </w:rPr>
        <w:t xml:space="preserve">Where this spine is thin</w:t>
      </w:r>
    </w:p>
    <w:p>
      <w:pPr>
        <w:spacing w:after="80" w:before="80"/>
      </w:pPr>
      <w:r>
        <w:rPr>
          <w:rFonts w:ascii="Calibri" w:cs="Calibri" w:eastAsia="Calibri" w:hAnsi="Calibri"/>
          <w:b/>
          <w:bCs/>
          <w:color w:val="1A2332"/>
          <w:sz w:val="21"/>
          <w:szCs w:val="21"/>
        </w:rPr>
        <w:t xml:space="preserve">Page 8 is waiting on which clients can be named.</w:t>
      </w:r>
      <w:r>
        <w:rPr>
          <w:rFonts w:ascii="Calibri" w:cs="Calibri" w:eastAsia="Calibri" w:hAnsi="Calibri"/>
          <w:color w:val="43536A"/>
          <w:sz w:val="21"/>
          <w:szCs w:val="21"/>
        </w:rPr>
        <w:t xml:space="preserve"> Placeholders are fine.</w:t>
      </w:r>
    </w:p>
    <w:p>
      <w:pPr>
        <w:spacing w:after="80" w:before="80"/>
      </w:pPr>
      <w:r>
        <w:rPr>
          <w:rFonts w:ascii="Calibri" w:cs="Calibri" w:eastAsia="Calibri" w:hAnsi="Calibri"/>
          <w:b/>
          <w:bCs/>
          <w:color w:val="1A2332"/>
          <w:sz w:val="21"/>
          <w:szCs w:val="21"/>
        </w:rPr>
        <w:t xml:space="preserve">Pages 2 and 3 need the visual explanations more than the copy.</w:t>
      </w:r>
      <w:r>
        <w:rPr>
          <w:rFonts w:ascii="Calibri" w:cs="Calibri" w:eastAsia="Calibri" w:hAnsi="Calibri"/>
          <w:color w:val="43536A"/>
          <w:sz w:val="21"/>
          <w:szCs w:val="21"/>
        </w:rPr>
        <w:t xml:space="preserve"> Brand plus performance, the flywheel, five mile famous, rented against owned attention, the customer journey. Those diagrams carry more of the argument than the paragraphs around them. Shaw should start on them now rather than waiting for finished copy.</w:t>
      </w:r>
    </w:p>
    <w:tbl>
      <w:tblPr>
        <w:tblW w:type="dxa" w:w="9360"/>
        <w:tblBorders>
          <w:top w:val="nil"/>
          <w:left w:val="single" w:color="72C140" w:sz="18"/>
          <w:bottom w:val="nil"/>
          <w:right w:val="nil"/>
          <w:insideH w:val="nil"/>
          <w:insideV w:val="nil"/>
        </w:tblBorders>
        <w:shd w:fill="FBF9F3" w:color="auto" w:val="clear"/>
      </w:tblPr>
      <w:tblGrid>
        <w:gridCol w:w="9360"/>
      </w:tblGrid>
      <w:tr>
        <w:tc>
          <w:tcPr>
            <w:tcW w:type="dxa" w:w="9360"/>
            <w:shd w:fill="FBF9F3" w:color="auto" w:val="clear"/>
            <w:tcMar>
              <w:top w:type="dxa" w:w="140"/>
              <w:left w:type="dxa" w:w="220"/>
              <w:bottom w:type="dxa" w:w="140"/>
              <w:right w:type="dxa" w:w="200"/>
            </w:tcMar>
          </w:tcPr>
          <w:p>
            <w:pPr>
              <w:spacing w:after="40" w:before="40"/>
            </w:pPr>
            <w:r>
              <w:rPr>
                <w:rFonts w:ascii="Calibri" w:cs="Calibri" w:eastAsia="Calibri" w:hAnsi="Calibri"/>
                <w:b/>
                <w:bCs/>
                <w:color w:val="1A2332"/>
                <w:sz w:val="21"/>
                <w:szCs w:val="21"/>
              </w:rPr>
              <w:t xml:space="preserve">If a beat above is wrong, change it and tell Ryan what you changed and why.</w:t>
            </w:r>
          </w:p>
          <w:p>
            <w:pPr>
              <w:spacing w:after="40" w:before="40"/>
            </w:pPr>
            <w:r>
              <w:rPr>
                <w:rFonts w:ascii="Calibri" w:cs="Calibri" w:eastAsia="Calibri" w:hAnsi="Calibri"/>
                <w:color w:val="43536A"/>
                <w:sz w:val="21"/>
                <w:szCs w:val="21"/>
              </w:rPr>
              <w:t xml:space="preserve">This is a starting spine built from the doctrine, not a specification you have to defend. </w:t>
            </w:r>
            <w:r>
              <w:rPr>
                <w:rFonts w:ascii="Calibri" w:cs="Calibri" w:eastAsia="Calibri" w:hAnsi="Calibri"/>
                <w:b/>
                <w:bCs/>
                <w:color w:val="1A2332"/>
                <w:sz w:val="21"/>
                <w:szCs w:val="21"/>
              </w:rPr>
              <w:t xml:space="preserve">The one thing that cannot move is the order.</w:t>
            </w:r>
            <w:r>
              <w:rPr>
                <w:rFonts w:ascii="Calibri" w:cs="Calibri" w:eastAsia="Calibri" w:hAnsi="Calibri"/>
                <w:color w:val="43536A"/>
                <w:sz w:val="21"/>
                <w:szCs w:val="21"/>
              </w:rPr>
              <w:t xml:space="preserve"> Problem, false assumption, insight, principle, proof, plan, outcome, call to action. That sequence is what makes a page argue instead of describe.</w:t>
            </w:r>
          </w:p>
        </w:tc>
      </w:tr>
    </w:tbl>
    <w:p>
      <w:pPr>
        <w:spacing w:after="100" w:before="0"/>
      </w:pPr>
      <w:r>
        <w:rPr>
          <w:rFonts w:ascii="Calibri" w:cs="Calibri" w:eastAsia="Calibri" w:hAnsi="Calibri"/>
          <w:color w:val="43536A"/>
          <w:sz w:val="21"/>
          <w:szCs w:val="21"/>
        </w:rPr>
        <w:t xml:space="preserve"/>
      </w:r>
    </w:p>
    <w:sectPr>
      <w:headerReference w:type="default" r:id="rId7"/>
      <w:headerReference w:type="first" r:id="rId8"/>
      <w:pgSz w:w="12240" w:h="15840" w:orient="portrait"/>
      <w:pgMar w:top="1300" w:right="1000" w:bottom="1000" w:left="1000" w:header="560"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none"/>
        <w:insideV w:val="none"/>
      </w:tblBorders>
    </w:tblPr>
    <w:tblGrid>
      <w:gridCol w:w="780"/>
      <w:gridCol w:w="3000"/>
    </w:tblGrid>
    <w:tr>
      <w:tc>
        <w:tcPr>
          <w:tcMar>
            <w:top w:type="dxa" w:w="0"/>
            <w:left w:type="dxa" w:w="0"/>
            <w:bottom w:type="dxa" w:w="0"/>
            <w:right w:type="dxa" w:w="0"/>
          </w:tcMar>
          <w:vAlign w:val="center"/>
        </w:tcPr>
        <w:p>
          <w:pPr>
            <w:spacing w:after="0" w:before="0"/>
          </w:pPr>
          <w:r>
            <w:drawing>
              <wp:inline distT="0" distB="0" distL="0" distR="0">
                <wp:extent cx="4953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381000"/>
                        </a:xfrm>
                        <a:prstGeom prst="rect">
                          <a:avLst/>
                        </a:prstGeom>
                      </pic:spPr>
                    </pic:pic>
                  </a:graphicData>
                </a:graphic>
              </wp:inline>
            </w:drawing>
          </w:r>
        </w:p>
      </w:tc>
      <w:tc>
        <w:tcPr>
          <w:tcMar>
            <w:top w:type="dxa" w:w="0"/>
            <w:left w:type="dxa" w:w="0"/>
            <w:bottom w:type="dxa" w:w="0"/>
            <w:right w:type="dxa" w:w="0"/>
          </w:tcMar>
        </w:tcPr>
        <w:p>
          <w:pPr>
            <w:spacing w:after="0" w:before="0"/>
          </w:pPr>
          <w:r>
            <w:t xml:space="preserve"/>
          </w:r>
        </w:p>
      </w:tc>
    </w:tr>
  </w:tbl>
  <w:p>
    <w:pPr>
      <w:pBdr>
        <w:bottom w:val="single" w:color="D0D5DD" w:sz="6" w:space="4"/>
      </w:pBdr>
      <w:spacing w:after="0" w:before="60"/>
    </w:pPr>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908fec6b897aa4583316b27690ae1bcedbc5dc7e.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7f6e6f912caf05621d45d3018dbb352ef3bb97e.undefined"/></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2026-08-18T16:04:51.604Z</dcterms:created>
  <dcterms:modified xsi:type="dcterms:W3CDTF">2026-08-18T16:04:51.621Z</dcterms:modified>
</cp:coreProperties>
</file>

<file path=docProps/custom.xml><?xml version="1.0" encoding="utf-8"?>
<Properties xmlns="http://schemas.openxmlformats.org/officeDocument/2006/custom-properties" xmlns:vt="http://schemas.openxmlformats.org/officeDocument/2006/docPropsVTypes"/>
</file>