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Times New Roman" w:cs="Times New Roman"/>
          <w:b/>
          <w:bCs/>
          <w:sz w:val="28"/>
          <w:szCs w:val="28"/>
        </w:rPr>
        <w:t>Negotiating Anchored and Transient Identities in Online Environments:</w:t>
      </w:r>
    </w:p>
    <w:p>
      <w:pPr>
        <w:pStyle w:val="Normal"/>
        <w:spacing w:before="0" w:after="400"/>
        <w:jc w:val="center"/>
        <w:rPr/>
      </w:pPr>
      <w:r>
        <w:rPr>
          <w:rFonts w:eastAsia="Times New Roman" w:cs="Times New Roman"/>
          <w:b/>
          <w:bCs/>
          <w:sz w:val="28"/>
          <w:szCs w:val="28"/>
        </w:rPr>
        <w:t>Social Network Theory, Performance, and the Reshaping of Digital Identity</w:t>
      </w:r>
    </w:p>
    <w:p>
      <w:pPr>
        <w:pStyle w:val="Heading1"/>
        <w:spacing w:before="320" w:after="160"/>
        <w:rPr/>
      </w:pPr>
      <w:r>
        <w:rPr>
          <w:rFonts w:eastAsia="Times New Roman" w:cs="Times New Roman" w:ascii="Times New Roman" w:hAnsi="Times New Roman"/>
          <w:b/>
          <w:bCs/>
          <w:sz w:val="28"/>
          <w:szCs w:val="28"/>
        </w:rPr>
        <w:t>1. Introduction</w:t>
      </w:r>
    </w:p>
    <w:p>
      <w:pPr>
        <w:pStyle w:val="Normal"/>
        <w:spacing w:lineRule="exact" w:line="360" w:before="0" w:after="160"/>
        <w:ind w:firstLine="720"/>
        <w:jc w:val="both"/>
        <w:rPr/>
      </w:pPr>
      <w:r>
        <w:rPr>
          <w:rFonts w:eastAsia="Times New Roman" w:cs="Times New Roman"/>
          <w:sz w:val="24"/>
          <w:szCs w:val="24"/>
        </w:rPr>
        <w:t>The rapid expansion of digital technologies over the last three decades has fundamentally transformed how individuals construct, perform, and communicate identity. As people engage across diverse and dispersed networks through the Internet, profound questions emerge about whether such technologies create new kinds of people or simply illuminate who we already are (Merchant, 2006). This debate is not merely philosophical; it sits at the intersection of sociological theory and everyday digital practice. Central to this discussion is the distinction between anchored identities — stable, historically rooted, and shaped by enduring socio-cultural structures — and transient identities — fluid, performative, and responsive to changing cultural trends, peer affiliations, and media consumption. Understanding how these two forms of identity are negotiated in online environments requires engagement with social network theory, particularly the work of Anthony Giddens (1991) and Barry Wellman (2002), as well as Guy Merchant's (2005, 2006) conceptual framework of identity performance in digital contexts.</w:t>
      </w:r>
    </w:p>
    <w:p>
      <w:pPr>
        <w:pStyle w:val="Normal"/>
        <w:spacing w:lineRule="exact" w:line="360" w:before="0" w:after="160"/>
        <w:ind w:firstLine="720"/>
        <w:jc w:val="both"/>
        <w:rPr/>
      </w:pPr>
      <w:r>
        <w:rPr>
          <w:rFonts w:eastAsia="Times New Roman" w:cs="Times New Roman"/>
          <w:sz w:val="24"/>
          <w:szCs w:val="24"/>
        </w:rPr>
        <w:t>This essay argues that online platforms do not simply reflect pre-existing identities but actively reshape their performance, visibility, and stability. By drawing on Merchant's anchored/transient identity continuum, Giddens' concept of identity as narrative, and Wellman's model of networked individualism, this essay will demonstrate that digital communication creates complex environments where identity is continuously authored, negotiated, and contested within socio-technical networks.</w:t>
      </w:r>
    </w:p>
    <w:p>
      <w:pPr>
        <w:pStyle w:val="Heading1"/>
        <w:spacing w:before="320" w:after="160"/>
        <w:rPr/>
      </w:pPr>
      <w:r>
        <w:rPr>
          <w:rFonts w:eastAsia="Times New Roman" w:cs="Times New Roman" w:ascii="Times New Roman" w:hAnsi="Times New Roman"/>
          <w:b/>
          <w:bCs/>
          <w:sz w:val="28"/>
          <w:szCs w:val="28"/>
        </w:rPr>
        <w:t>2. Identity as Narrative and Performance</w:t>
      </w:r>
    </w:p>
    <w:p>
      <w:pPr>
        <w:pStyle w:val="Normal"/>
        <w:spacing w:lineRule="exact" w:line="360" w:before="0" w:after="160"/>
        <w:ind w:firstLine="720"/>
        <w:jc w:val="both"/>
        <w:rPr/>
      </w:pPr>
      <w:r>
        <w:rPr>
          <w:rFonts w:eastAsia="Times New Roman" w:cs="Times New Roman"/>
          <w:sz w:val="24"/>
          <w:szCs w:val="24"/>
        </w:rPr>
        <w:t xml:space="preserve">A foundational premise of this discussion is that identity is not a fixed essence that individuals possess, but rather something they actively do — a performance produced through ongoing social interaction. </w:t>
      </w:r>
      <w:r>
        <w:rPr>
          <w:rFonts w:eastAsia="Times New Roman" w:cs="Times New Roman"/>
          <w:sz w:val="24"/>
          <w:szCs w:val="24"/>
          <w:shd w:fill="FFFF00" w:val="clear"/>
        </w:rPr>
        <w:t>Giddens (1991, p. 54) argues that identity is bound up with the capacity to keep a particular narrative going, a reflexive project in which individuals continuously integrate external events into an evolving story of the self</w:t>
      </w:r>
      <w:r>
        <w:rPr>
          <w:rFonts w:eastAsia="Times New Roman" w:cs="Times New Roman"/>
          <w:sz w:val="24"/>
          <w:szCs w:val="24"/>
        </w:rPr>
        <w:t>. This narrative, he insists, must be coherent enough to sustain regular interaction with others, yet it cannot be wholly fictive — it must remain grounded in lived social reality. Identity, in this sense, is simultaneously personal and social, individual and relational.</w:t>
      </w:r>
    </w:p>
    <w:p>
      <w:pPr>
        <w:pStyle w:val="Normal"/>
        <w:spacing w:lineRule="exact" w:line="360" w:before="0" w:after="160"/>
        <w:ind w:firstLine="720"/>
        <w:jc w:val="both"/>
        <w:rPr/>
      </w:pPr>
      <w:r>
        <w:rPr>
          <w:rFonts w:eastAsia="Times New Roman" w:cs="Times New Roman"/>
          <w:sz w:val="24"/>
          <w:szCs w:val="24"/>
          <w:shd w:fill="FFFF00" w:val="clear"/>
        </w:rPr>
        <w:t>Merchant (2006) extends this perspective into digital environments, arguing that online communication intensifies the performative nature of identity.</w:t>
      </w:r>
      <w:r>
        <w:rPr>
          <w:rFonts w:eastAsia="Times New Roman" w:cs="Times New Roman"/>
          <w:sz w:val="24"/>
          <w:szCs w:val="24"/>
        </w:rPr>
        <w:t xml:space="preserve"> Because screen-based interaction strips away the paralinguistic cues that enrich face-to-face communication — gesture, eye contact, physical co-presence — users must work considerably harder to construct and project a sense of self. Herring (2004) describes this as a 'lean medium', one in which the richness of multimodal face-to-face interaction is drastically reduced. As a result, identity performance online becomes more deliberate, more textually constructed, and more dependent on the tools and conventions of specific platforms.</w:t>
      </w:r>
    </w:p>
    <w:p>
      <w:pPr>
        <w:pStyle w:val="Normal"/>
        <w:spacing w:lineRule="exact" w:line="360" w:before="0" w:after="160"/>
        <w:ind w:firstLine="720"/>
        <w:jc w:val="both"/>
        <w:rPr/>
      </w:pPr>
      <w:r>
        <w:rPr>
          <w:rFonts w:eastAsia="Times New Roman" w:cs="Times New Roman"/>
          <w:sz w:val="24"/>
          <w:szCs w:val="24"/>
        </w:rPr>
        <w:t>Merchant's framework identifies three levels at which identity is performed online. At the surface level, individuals deploy usernames, profile pictures, bios, and status updates. At the interaction level, language style, posting frequency, and topic selection communicate identity. At the deepest level, values, beliefs, long-term patterns of media consumption, and forms of network participation reveal more enduring aspects of the self. These levels do not operate in isolation; they interact and sometimes contradict one another, producing a layered and complex picture of digital selfhood.</w:t>
      </w:r>
    </w:p>
    <w:p>
      <w:pPr>
        <w:pStyle w:val="Normal"/>
        <w:spacing w:lineRule="exact" w:line="360" w:before="0" w:after="160"/>
        <w:ind w:firstLine="720"/>
        <w:jc w:val="both"/>
        <w:rPr/>
      </w:pPr>
      <w:r>
        <w:rPr>
          <w:rFonts w:eastAsia="Times New Roman" w:cs="Times New Roman"/>
          <w:sz w:val="24"/>
          <w:szCs w:val="24"/>
        </w:rPr>
        <w:t>Furthermore, following Holland et al. (1998), identity is understood as a central means by which selves form and reform over personal lifetimes. The concept of audience is particularly significant here. Merchant (2006) emphasises that online identity-making is always shaped by imagined readers — both known and unknown others to whom one presents particular narratives of the self. As Hine (2000, p. 136) observes, producing a web page is made meaningful primarily through the imagining of an audience and the seeking of recognition from that audience. This awareness of audience prompts continuous calibration of identity performance across different platforms and contexts.</w:t>
      </w:r>
    </w:p>
    <w:p>
      <w:pPr>
        <w:pStyle w:val="Heading1"/>
        <w:spacing w:before="320" w:after="160"/>
        <w:rPr/>
      </w:pPr>
      <w:r>
        <w:rPr>
          <w:rFonts w:eastAsia="Times New Roman" w:cs="Times New Roman" w:ascii="Times New Roman" w:hAnsi="Times New Roman"/>
          <w:b/>
          <w:bCs/>
          <w:sz w:val="28"/>
          <w:szCs w:val="28"/>
        </w:rPr>
        <w:t>3. Anchored and Transient Identities: Definitions and Online Negotiation</w:t>
      </w:r>
    </w:p>
    <w:p>
      <w:pPr>
        <w:pStyle w:val="Normal"/>
        <w:spacing w:lineRule="exact" w:line="360" w:before="0" w:after="160"/>
        <w:ind w:firstLine="720"/>
        <w:jc w:val="both"/>
        <w:rPr/>
      </w:pPr>
      <w:r>
        <w:rPr>
          <w:rFonts w:eastAsia="Times New Roman" w:cs="Times New Roman"/>
          <w:sz w:val="24"/>
          <w:szCs w:val="24"/>
        </w:rPr>
        <w:t>Merchant (2005) introduces the distinction between anchored and transient identities as a conceptual tool for understanding the varied nature of online self-presentation. Anchored identities are stable and long-term, rooted in socio-cultural structures that are historically deep and difficult to modify. These include gender, religion, ethnicity, nationality, social class, and geographical location — aspects of life over which individuals have little direct control. Transient identities, by contrast, are fluid and short-term, defined by interests, tastes, media affiliations, fandoms, hobbies, and peer networks. They are easily revised, updated, or discarded as cultural conditions and personal circumstances change.</w:t>
      </w:r>
    </w:p>
    <w:p>
      <w:pPr>
        <w:pStyle w:val="Normal"/>
        <w:spacing w:lineRule="exact" w:line="360" w:before="0" w:after="160"/>
        <w:ind w:firstLine="720"/>
        <w:jc w:val="both"/>
        <w:rPr/>
      </w:pPr>
      <w:r>
        <w:rPr>
          <w:rFonts w:eastAsia="Times New Roman" w:cs="Times New Roman"/>
          <w:sz w:val="24"/>
          <w:szCs w:val="24"/>
        </w:rPr>
        <w:t>Crucially, Merchant does not present these as a simple binary division but as poles on a continuum from which instances of identity performance are drawn. Any given act of online communication draws on both anchored and transient elements simultaneously, with context and audience determining which aspects become most salient. This nuanced understanding is essential because it resists the temptation to reduce digital identity to either pure performance (as in Turkle's 1995 early work on cyberspace) or pure authenticity (as in naïve readings of social media profiles).</w:t>
      </w:r>
    </w:p>
    <w:p>
      <w:pPr>
        <w:pStyle w:val="Normal"/>
        <w:spacing w:lineRule="exact" w:line="360" w:before="0" w:after="160"/>
        <w:ind w:firstLine="720"/>
        <w:jc w:val="both"/>
        <w:rPr/>
      </w:pPr>
      <w:r>
        <w:rPr>
          <w:rFonts w:eastAsia="Times New Roman" w:cs="Times New Roman"/>
          <w:sz w:val="24"/>
          <w:szCs w:val="24"/>
        </w:rPr>
        <w:t>A compelling illustration of this negotiation is offered by the case of nine-year-old Nazar, reported in Merchant (2006). Participating in a school link project, Nazar photographed a collection of personal objects to introduce himself to a partner school via email. His photograph included a Koranic neck pendant placed deliberately across a travel brochure written in Urdu — a visual act of anchored identity performance, making explicit associations between religion and ethnicity. His accompanying message declared: 'my most valuable thing is my chain to show my religion.' In a subsequent message, he added that his hobby was football and bike riding, that his best friend was Subhaan, and that he preferred Pakistan to England. These latter statements represent transient identity markers — peer culture, leisure interests — while his religious and national identity constitute deeply anchored positions. What makes Nazar's case analytically rich is the way these layers coexist and interact. He does not choose between anchored and transient identities; he mobilises both simultaneously, each framing and contextualising the other.</w:t>
      </w:r>
    </w:p>
    <w:p>
      <w:pPr>
        <w:pStyle w:val="Normal"/>
        <w:spacing w:lineRule="exact" w:line="360" w:before="0" w:after="160"/>
        <w:ind w:firstLine="720"/>
        <w:jc w:val="both"/>
        <w:rPr/>
      </w:pPr>
      <w:r>
        <w:rPr>
          <w:rFonts w:eastAsia="Times New Roman" w:cs="Times New Roman"/>
          <w:sz w:val="24"/>
          <w:szCs w:val="24"/>
        </w:rPr>
        <w:t>The slide materials from this course identify specific platform conditions that either increase identity fluidity or reinforce anchoring. Anonymity, the use of avatars in gaming environments, limited connection to real-world social networks, and weak audience expectations all tend to increase transience — allowing individuals to experiment with identities far removed from their offline selves. Conversely, real-name profiles (as in email), school-based or workplace communication, cultural or religious disclosures, and family and peer network participation tend to reinforce anchored identity. This suggests that the degree to which anchored or transient identities dominate online performance is not determined by digital media in general but by the specific affordances, norms, and expectations of individual platforms and genres.</w:t>
      </w:r>
    </w:p>
    <w:p>
      <w:pPr>
        <w:pStyle w:val="Normal"/>
        <w:spacing w:lineRule="exact" w:line="360" w:before="0" w:after="160"/>
        <w:ind w:firstLine="720"/>
        <w:jc w:val="both"/>
        <w:rPr/>
      </w:pPr>
      <w:r>
        <w:rPr>
          <w:rFonts w:eastAsia="Times New Roman" w:cs="Times New Roman"/>
          <w:sz w:val="24"/>
          <w:szCs w:val="24"/>
        </w:rPr>
        <w:t>The identity threat discourse also shapes how people negotiate identity online. Moral panic narratives — centred on fears of surveillance, theft of personal information, sexual predators, and deceptive personas — construct the Internet as a space of instability and danger (Merchant, 2006). These narratives, though often exaggerated, highlight a genuine anxiety: that online environments undermine the trust that ordinarily underpins face-to-face communication (Grice, 1975). The absence of physical co-presence makes it harder to verify identity claims, which in turn intensifies the labour of identity construction and the vigilance with which audiences read online self-presentation.</w:t>
      </w:r>
    </w:p>
    <w:p>
      <w:pPr>
        <w:pStyle w:val="Heading1"/>
        <w:spacing w:before="320" w:after="160"/>
        <w:rPr/>
      </w:pPr>
      <w:r>
        <w:rPr>
          <w:rFonts w:eastAsia="Times New Roman" w:cs="Times New Roman" w:ascii="Times New Roman" w:hAnsi="Times New Roman"/>
          <w:b/>
          <w:bCs/>
          <w:sz w:val="28"/>
          <w:szCs w:val="28"/>
        </w:rPr>
        <w:t>4. Social Network Theory and Its Implications for Identity</w:t>
      </w:r>
    </w:p>
    <w:p>
      <w:pPr>
        <w:pStyle w:val="Normal"/>
        <w:spacing w:lineRule="exact" w:line="360" w:before="0" w:after="160"/>
        <w:ind w:firstLine="720"/>
        <w:jc w:val="both"/>
        <w:rPr/>
      </w:pPr>
      <w:r>
        <w:rPr>
          <w:rFonts w:eastAsia="Times New Roman" w:cs="Times New Roman"/>
          <w:sz w:val="24"/>
          <w:szCs w:val="24"/>
        </w:rPr>
        <w:t>To situate the negotiation of anchored and transient identities within a broader sociological frame, it is essential to engage with Wellman's (2002) theory of social networks. Wellman and his colleagues chart the historical shift from traditional close-knit communities, characterised by face-to-face interaction and geographical collocation, through glocalized networks that bridge local and global communication, to what he terms networked individualism. In close-knit communities, identity is shaped by tradition, location, and the dense relational expectations of a shared physical space. In glocalized networks, identity is shaped by hybrid cultural flows that traverse local and global contexts simultaneously. In networked individualism, the individual — rather than the household, the neighbourhood, or the institution — becomes the primary locus of connectivity, and identity becomes personalised, customisable, and multi-sited.</w:t>
      </w:r>
    </w:p>
    <w:p>
      <w:pPr>
        <w:pStyle w:val="Normal"/>
        <w:spacing w:lineRule="exact" w:line="360" w:before="0" w:after="160"/>
        <w:ind w:firstLine="720"/>
        <w:jc w:val="both"/>
        <w:rPr/>
      </w:pPr>
      <w:r>
        <w:rPr>
          <w:rFonts w:eastAsia="Times New Roman" w:cs="Times New Roman"/>
          <w:sz w:val="24"/>
          <w:szCs w:val="24"/>
        </w:rPr>
        <w:t>Wellman exemplifies networked individualism through the mobile phone: with the internet and the mobile phone, messages come to people, not the other way around (Wellman et al., 2005, p. 1). This shift has profound implications for identity. When the person rather than the place becomes the hub of social networks, identity can no longer be anchored solely in geographical community or institutional belonging. Instead, individuals curate different identity threads across diverse platforms — blogs, games, email, messaging applications, and social media — each thread addressing a different audience and drawing on a different combination of anchored and transient markers.</w:t>
      </w:r>
    </w:p>
    <w:p>
      <w:pPr>
        <w:pStyle w:val="Normal"/>
        <w:spacing w:lineRule="exact" w:line="360" w:before="0" w:after="160"/>
        <w:ind w:firstLine="720"/>
        <w:jc w:val="both"/>
        <w:rPr/>
      </w:pPr>
      <w:r>
        <w:rPr>
          <w:rFonts w:eastAsia="Times New Roman" w:cs="Times New Roman"/>
          <w:sz w:val="24"/>
          <w:szCs w:val="24"/>
        </w:rPr>
        <w:t>Blogging offers a particularly instructive case study for examining this dynamic. A personal blog enables its author to communicate to and receive responses from a loosely defined social network encompassing local and geographically remote friends, colleagues, and unknown others with shared interests (Merchant, 2006). In this sense, blogging software supports the emergence of glocalized networks — connecting dispersed individuals who constitute communities of practice (Wenger, 1998) or affinity spaces (Gee, 2003) around common interests. At the same time, blogs enable person-to-person communication of the kind that characterises networked individualism. Every element of a personal blog — the template chosen, the blogger profile, the style and content of posts, the blogroll, the sidebar links, the photo-sharing streams — constitutes a semiotic resource for identity performance. Anchored identities can be communicated through religious or cultural disclosures, while transient identities are displayed through media consumption lists, fandom affiliations, and social links. As Merchant (2006) candidly observes of his own academic blog, even consciously controlled choices of content will inevitably communicate deeper aspects of identity — class position, political orientation, age — that lie beneath the author's awareness.</w:t>
      </w:r>
    </w:p>
    <w:p>
      <w:pPr>
        <w:pStyle w:val="Normal"/>
        <w:spacing w:lineRule="exact" w:line="360" w:before="0" w:after="160"/>
        <w:ind w:firstLine="720"/>
        <w:jc w:val="both"/>
        <w:rPr/>
      </w:pPr>
      <w:r>
        <w:rPr>
          <w:rFonts w:eastAsia="Times New Roman" w:cs="Times New Roman"/>
          <w:sz w:val="24"/>
          <w:szCs w:val="24"/>
        </w:rPr>
        <w:t>Wellman (2002) raises two questions that are directly pertinent to this discussion: first, whether networked individualism deconstructs holistic individual identities; and second, whether the Internet reduces the importance of traditional social organising criteria such as gender, social class, and ethnicity. The framework of anchored and transient identities offers a nuanced response to both. On one hand, the proliferation of online platforms and the mobility of networked individualism do enable individuals to foreground different aspects of identity in different contexts, producing a more fragmented and plural self than traditional community life might have sustained. On the other hand, anchored identities — precisely because they are rooted in durable socio-cultural structures — are not erased by digital communication but rather find new forms of expression and visibility online. Nazar's religious and ethnic identity is not diminished by his digital communication; it is actively and deliberately performed within it.</w:t>
      </w:r>
    </w:p>
    <w:p>
      <w:pPr>
        <w:pStyle w:val="Heading1"/>
        <w:spacing w:before="320" w:after="160"/>
        <w:rPr/>
      </w:pPr>
      <w:r>
        <w:rPr>
          <w:rFonts w:eastAsia="Times New Roman" w:cs="Times New Roman" w:ascii="Times New Roman" w:hAnsi="Times New Roman"/>
          <w:b/>
          <w:bCs/>
          <w:sz w:val="28"/>
          <w:szCs w:val="28"/>
        </w:rPr>
        <w:t>5. How Online Platforms Reshape Performance, Visibility, and Stability of Identity</w:t>
      </w:r>
    </w:p>
    <w:p>
      <w:pPr>
        <w:pStyle w:val="Normal"/>
        <w:spacing w:lineRule="exact" w:line="360" w:before="0" w:after="160"/>
        <w:ind w:firstLine="720"/>
        <w:jc w:val="both"/>
        <w:rPr/>
      </w:pPr>
      <w:r>
        <w:rPr>
          <w:rFonts w:eastAsia="Times New Roman" w:cs="Times New Roman"/>
          <w:sz w:val="24"/>
          <w:szCs w:val="24"/>
        </w:rPr>
        <w:t>Having established the theoretical landscape, it is now possible to address directly how online platforms reshape the performance, visibility, and stability of identity across the anchored/transient continuum.</w:t>
      </w:r>
    </w:p>
    <w:p>
      <w:pPr>
        <w:pStyle w:val="Heading2"/>
        <w:spacing w:before="240" w:after="120"/>
        <w:rPr/>
      </w:pPr>
      <w:r>
        <w:rPr>
          <w:rFonts w:eastAsia="Times New Roman" w:cs="Times New Roman" w:ascii="Times New Roman" w:hAnsi="Times New Roman"/>
          <w:b/>
          <w:bCs/>
          <w:sz w:val="24"/>
          <w:szCs w:val="24"/>
        </w:rPr>
        <w:t>5.1 Performance</w:t>
      </w:r>
    </w:p>
    <w:p>
      <w:pPr>
        <w:pStyle w:val="Normal"/>
        <w:spacing w:lineRule="exact" w:line="360" w:before="0" w:after="160"/>
        <w:ind w:firstLine="720"/>
        <w:jc w:val="both"/>
        <w:rPr/>
      </w:pPr>
      <w:r>
        <w:rPr>
          <w:rFonts w:eastAsia="Times New Roman" w:cs="Times New Roman"/>
          <w:sz w:val="24"/>
          <w:szCs w:val="24"/>
        </w:rPr>
        <w:t>Online platforms reshape identity performance primarily by requiring users to construct the self through symbolic means in the absence of bodily co-presence. As the course slide materials note, the absence of physical signs means that users must construct identity through images, text, and platform conventions. This places heightened pressure on the semiotics of self-presentation. Different platforms provide different identity scripts — email encourages the use of everyday, anchored identities; massively multiplayer online role-playing games (MMORPGs) facilitate experimentation with virtual identities far removed from real-world anchors; blogs offer hybrid spaces in which both anchored and transient identities can be layered and mixed. This variability means that identity performance is not uniform across digital environments but is shaped by the affordances and social conventions of each specific platform (Merchant, 2006).</w:t>
      </w:r>
    </w:p>
    <w:p>
      <w:pPr>
        <w:pStyle w:val="Heading2"/>
        <w:spacing w:before="240" w:after="120"/>
        <w:rPr/>
      </w:pPr>
      <w:r>
        <w:rPr>
          <w:rFonts w:eastAsia="Times New Roman" w:cs="Times New Roman" w:ascii="Times New Roman" w:hAnsi="Times New Roman"/>
          <w:b/>
          <w:bCs/>
          <w:sz w:val="24"/>
          <w:szCs w:val="24"/>
        </w:rPr>
        <w:t>5.2 Visibility</w:t>
      </w:r>
    </w:p>
    <w:p>
      <w:pPr>
        <w:pStyle w:val="Normal"/>
        <w:spacing w:lineRule="exact" w:line="360" w:before="0" w:after="160"/>
        <w:ind w:firstLine="720"/>
        <w:jc w:val="both"/>
        <w:rPr/>
      </w:pPr>
      <w:r>
        <w:rPr>
          <w:rFonts w:eastAsia="Times New Roman" w:cs="Times New Roman"/>
          <w:sz w:val="24"/>
          <w:szCs w:val="24"/>
        </w:rPr>
        <w:t>Online platforms also transform the visibility of identity in ways that have no direct parallel in face-to-face communication. In offline contexts, anchored identities — particularly those related to ethnicity, religion, and gender — may be visible through bodily markers, dress, or accent without the individual consciously choosing to disclose them. Online, by contrast, visibility becomes a matter of deliberate textual and visual choice. Nazar's decision to foreground his Koranic pendant in a photograph and to explicitly gloss its religious significance in an accompanying message represents an act of voluntary identity disclosure that could not have been taken for granted in a face-to-face introduction. The dispersed and often anonymous nature of online audiences means that individuals must actively decide which aspects of identity to make visible, to whom, and in what form. This agency introduces new possibilities for strategic self-presentation but also new risks, as identity disclosures in one context may travel to unintended audiences in others.</w:t>
      </w:r>
    </w:p>
    <w:p>
      <w:pPr>
        <w:pStyle w:val="Heading2"/>
        <w:spacing w:before="240" w:after="120"/>
        <w:rPr/>
      </w:pPr>
      <w:r>
        <w:rPr>
          <w:rFonts w:eastAsia="Times New Roman" w:cs="Times New Roman" w:ascii="Times New Roman" w:hAnsi="Times New Roman"/>
          <w:b/>
          <w:bCs/>
          <w:sz w:val="24"/>
          <w:szCs w:val="24"/>
        </w:rPr>
        <w:t>5.3 Stability</w:t>
      </w:r>
    </w:p>
    <w:p>
      <w:pPr>
        <w:pStyle w:val="Normal"/>
        <w:spacing w:lineRule="exact" w:line="360" w:before="0" w:after="160"/>
        <w:ind w:firstLine="720"/>
        <w:jc w:val="both"/>
        <w:rPr/>
      </w:pPr>
      <w:r>
        <w:rPr>
          <w:rFonts w:eastAsia="Times New Roman" w:cs="Times New Roman"/>
          <w:sz w:val="24"/>
          <w:szCs w:val="24"/>
        </w:rPr>
        <w:t>Perhaps the most complex dimension concerns the stability of identity in online environments. Social theorists such as Giddens (1991) and Bauman (2004) argue that identity in late modernity is contingent, multiple, and malleable — an ongoing narrative rather than a fixed essence. Digital communication both reflects and amplifies this condition. Transient identities, by their nature, are easily modified or discarded as platforms change, as cultural trends shift, or as individuals move through different life stages. Anchored identities, however, retain a degree of stability even as they are performed in new forms. The identity threat discourse highlights the anxiety that surrounds this instability: the fear that one's identity can be stolen, corrupted, or misrepresented online undermines the trust that ordinarily stabilises social interaction. Yet this very instability is also a source of creative possibility, enabling individuals to explore, revise, and refine their self-narratives in ways that offline constraints might not permit.</w:t>
      </w:r>
    </w:p>
    <w:p>
      <w:pPr>
        <w:pStyle w:val="Heading1"/>
        <w:spacing w:before="320" w:after="160"/>
        <w:rPr/>
      </w:pPr>
      <w:r>
        <w:rPr>
          <w:rFonts w:eastAsia="Times New Roman" w:cs="Times New Roman" w:ascii="Times New Roman" w:hAnsi="Times New Roman"/>
          <w:b/>
          <w:bCs/>
          <w:sz w:val="28"/>
          <w:szCs w:val="28"/>
        </w:rPr>
        <w:t>6. Conclusion</w:t>
      </w:r>
    </w:p>
    <w:p>
      <w:pPr>
        <w:pStyle w:val="Normal"/>
        <w:spacing w:lineRule="exact" w:line="360" w:before="0" w:after="160"/>
        <w:ind w:firstLine="720"/>
        <w:jc w:val="both"/>
        <w:rPr/>
      </w:pPr>
      <w:r>
        <w:rPr>
          <w:rFonts w:eastAsia="Times New Roman" w:cs="Times New Roman"/>
          <w:sz w:val="24"/>
          <w:szCs w:val="24"/>
        </w:rPr>
        <w:t>This essay has argued that the negotiation of anchored and transient identities in online environments is a complex, multi-layered process shaped by the interplay of individual agency, platform affordances, and wider social structures. Drawing on Giddens' (1991) concept of identity as reflexive narrative, Merchant's (2005, 2006) anchored/transient continuum, and Wellman's (2002) model of networked individualism, it has been demonstrated that online platforms do not create new people ex nihilo, nor do they simply mirror pre-existing offline identities. Rather, they create new conditions under which the ongoing performance of identity — always multiple, always relational, always audience-aware — is conducted.</w:t>
      </w:r>
    </w:p>
    <w:p>
      <w:pPr>
        <w:pStyle w:val="Normal"/>
        <w:spacing w:lineRule="exact" w:line="360" w:before="0" w:after="160"/>
        <w:ind w:firstLine="720"/>
        <w:jc w:val="both"/>
        <w:rPr/>
      </w:pPr>
      <w:r>
        <w:rPr>
          <w:rFonts w:eastAsia="Times New Roman" w:cs="Times New Roman"/>
          <w:sz w:val="24"/>
          <w:szCs w:val="24"/>
        </w:rPr>
        <w:t>Anchored identities, rooted in gender, religion, ethnicity, and social position, retain their significance in digital environments even as they find new modes of expression and new forms of visibility. Transient identities, tied to fandom, media consumption, and peer affiliation, are amplified by the networked and platform-specific nature of digital communication. The shift from close-knit communities to glocalized networks to networked individualism, charted by Wellman, creates a social landscape in which individuals curate multiple identity threads across diverse platforms, addressing different audiences and mobilising different combinations of anchored and transient markers.</w:t>
      </w:r>
    </w:p>
    <w:p>
      <w:pPr>
        <w:pStyle w:val="Normal"/>
        <w:spacing w:lineRule="exact" w:line="360" w:before="0" w:after="160"/>
        <w:ind w:firstLine="720"/>
        <w:jc w:val="both"/>
        <w:rPr/>
      </w:pPr>
      <w:r>
        <w:rPr>
          <w:rFonts w:eastAsia="Times New Roman" w:cs="Times New Roman"/>
          <w:sz w:val="24"/>
          <w:szCs w:val="24"/>
        </w:rPr>
        <w:t>As the lecture slide materials note, digital communication does not erase traditional markers of identity, nor does it fully liberate individuals from social constraints. Instead, it creates complex environments where identity is continuously authored, negotiated, and contested within socio-technical networks. Future research must continue to examine how identities are performed across both online and offline networks, how individuals manage multiple audiences simultaneously, and how specific digital environments shape the ongoing narrative of the self.</w:t>
      </w:r>
    </w:p>
    <w:p>
      <w:pPr>
        <w:pStyle w:val="Heading1"/>
        <w:spacing w:before="320" w:after="160"/>
        <w:rPr/>
      </w:pPr>
      <w:r>
        <w:rPr>
          <w:rFonts w:eastAsia="Times New Roman" w:cs="Times New Roman" w:ascii="Times New Roman" w:hAnsi="Times New Roman"/>
          <w:b/>
          <w:bCs/>
          <w:sz w:val="28"/>
          <w:szCs w:val="28"/>
        </w:rPr>
        <w:t>References</w:t>
      </w:r>
    </w:p>
    <w:p>
      <w:pPr>
        <w:pStyle w:val="Normal"/>
        <w:spacing w:lineRule="exact" w:line="360" w:before="0" w:after="160"/>
        <w:jc w:val="both"/>
        <w:rPr/>
      </w:pPr>
      <w:r>
        <w:rPr>
          <w:rFonts w:eastAsia="Times New Roman" w:cs="Times New Roman"/>
          <w:sz w:val="24"/>
          <w:szCs w:val="24"/>
        </w:rPr>
        <w:t>Bauman, Z. (2004). Identity: Conversations with Benedetto Vecchi. Polity Press.</w:t>
      </w:r>
    </w:p>
    <w:p>
      <w:pPr>
        <w:pStyle w:val="Normal"/>
        <w:spacing w:lineRule="exact" w:line="360" w:before="0" w:after="160"/>
        <w:jc w:val="both"/>
        <w:rPr/>
      </w:pPr>
      <w:r>
        <w:rPr>
          <w:rFonts w:eastAsia="Times New Roman" w:cs="Times New Roman"/>
          <w:sz w:val="24"/>
          <w:szCs w:val="24"/>
        </w:rPr>
        <w:t>Gee, J. P. (2003). What videogames have to teach us about learning and literacy. Palgrave Macmillan.</w:t>
      </w:r>
    </w:p>
    <w:p>
      <w:pPr>
        <w:pStyle w:val="Normal"/>
        <w:spacing w:lineRule="exact" w:line="360" w:before="0" w:after="160"/>
        <w:jc w:val="both"/>
        <w:rPr/>
      </w:pPr>
      <w:r>
        <w:rPr>
          <w:rFonts w:eastAsia="Times New Roman" w:cs="Times New Roman"/>
          <w:sz w:val="24"/>
          <w:szCs w:val="24"/>
        </w:rPr>
        <w:t>Giddens, A. (1991). Modernity and self identity: Self and society in the late modern age. Polity Press.</w:t>
      </w:r>
    </w:p>
    <w:p>
      <w:pPr>
        <w:pStyle w:val="Normal"/>
        <w:spacing w:lineRule="exact" w:line="360" w:before="0" w:after="160"/>
        <w:jc w:val="both"/>
        <w:rPr/>
      </w:pPr>
      <w:r>
        <w:rPr>
          <w:rFonts w:eastAsia="Times New Roman" w:cs="Times New Roman"/>
          <w:sz w:val="24"/>
          <w:szCs w:val="24"/>
        </w:rPr>
        <w:t>Grice, H. P. (1975). Logic and conversation. In P. Cole &amp; J. Morgan (Eds.), Speech acts: Syntax and semantics (Vol. 3, pp. 41–58). Academic Press.</w:t>
      </w:r>
    </w:p>
    <w:p>
      <w:pPr>
        <w:pStyle w:val="Normal"/>
        <w:spacing w:lineRule="exact" w:line="360" w:before="0" w:after="160"/>
        <w:jc w:val="both"/>
        <w:rPr/>
      </w:pPr>
      <w:r>
        <w:rPr>
          <w:rFonts w:eastAsia="Times New Roman" w:cs="Times New Roman"/>
          <w:sz w:val="24"/>
          <w:szCs w:val="24"/>
        </w:rPr>
        <w:t>Herring, S. C. (2004). Slouching toward the ordinary: Current trends in computer-mediated communication. New Media and Society, 6(1), 26–33.</w:t>
      </w:r>
    </w:p>
    <w:p>
      <w:pPr>
        <w:pStyle w:val="Normal"/>
        <w:spacing w:lineRule="exact" w:line="360" w:before="0" w:after="160"/>
        <w:jc w:val="both"/>
        <w:rPr/>
      </w:pPr>
      <w:r>
        <w:rPr>
          <w:rFonts w:eastAsia="Times New Roman" w:cs="Times New Roman"/>
          <w:sz w:val="24"/>
          <w:szCs w:val="24"/>
        </w:rPr>
        <w:t>Hine, C. (2000). Virtual ethnography. Sage.</w:t>
      </w:r>
    </w:p>
    <w:p>
      <w:pPr>
        <w:pStyle w:val="Normal"/>
        <w:spacing w:lineRule="exact" w:line="360" w:before="0" w:after="160"/>
        <w:jc w:val="both"/>
        <w:rPr/>
      </w:pPr>
      <w:r>
        <w:rPr>
          <w:rFonts w:eastAsia="Times New Roman" w:cs="Times New Roman"/>
          <w:sz w:val="24"/>
          <w:szCs w:val="24"/>
        </w:rPr>
        <w:t>Holland, D., Lachinotte, W., Skinner, D., &amp; Cain, C. (1998). Identity and agency in cultural worlds. Harvard University Press.</w:t>
      </w:r>
    </w:p>
    <w:p>
      <w:pPr>
        <w:pStyle w:val="Normal"/>
        <w:spacing w:lineRule="exact" w:line="360" w:before="0" w:after="160"/>
        <w:jc w:val="both"/>
        <w:rPr/>
      </w:pPr>
      <w:r>
        <w:rPr>
          <w:rFonts w:eastAsia="Times New Roman" w:cs="Times New Roman"/>
          <w:sz w:val="24"/>
          <w:szCs w:val="24"/>
        </w:rPr>
        <w:t>Merchant, G. (2005). Electric involvement: Identity performance in children's informal digital writing. Discourse, 26(3), 301–314.</w:t>
      </w:r>
    </w:p>
    <w:p>
      <w:pPr>
        <w:pStyle w:val="Normal"/>
        <w:spacing w:lineRule="exact" w:line="360" w:before="0" w:after="160"/>
        <w:jc w:val="both"/>
        <w:rPr/>
      </w:pPr>
      <w:r>
        <w:rPr>
          <w:rFonts w:eastAsia="Times New Roman" w:cs="Times New Roman"/>
          <w:sz w:val="24"/>
          <w:szCs w:val="24"/>
        </w:rPr>
        <w:t>Merchant, G. (2006). Identity, social networks and online communication. E-Learning, 3(2), 235–244.</w:t>
      </w:r>
    </w:p>
    <w:p>
      <w:pPr>
        <w:pStyle w:val="Normal"/>
        <w:spacing w:lineRule="exact" w:line="360" w:before="0" w:after="160"/>
        <w:jc w:val="both"/>
        <w:rPr/>
      </w:pPr>
      <w:r>
        <w:rPr>
          <w:rFonts w:eastAsia="Times New Roman" w:cs="Times New Roman"/>
          <w:sz w:val="24"/>
          <w:szCs w:val="24"/>
        </w:rPr>
        <w:t>Turkle, S. (1995). Life on the screen: Identity in the age of the Internet. Simon &amp; Schuster.</w:t>
      </w:r>
    </w:p>
    <w:p>
      <w:pPr>
        <w:pStyle w:val="Normal"/>
        <w:spacing w:lineRule="exact" w:line="360" w:before="0" w:after="160"/>
        <w:jc w:val="both"/>
        <w:rPr/>
      </w:pPr>
      <w:r>
        <w:rPr>
          <w:rFonts w:eastAsia="Times New Roman" w:cs="Times New Roman"/>
          <w:sz w:val="24"/>
          <w:szCs w:val="24"/>
        </w:rPr>
        <w:t>Wellman, B. (2002). Little boxes, glocalization, and networked individualism. In M. Tanabe, P. Besselaar, &amp; T. Ishida (Eds.), Digital cities II: Computational and sociological approaches (pp. 10–25). Springer.</w:t>
      </w:r>
    </w:p>
    <w:p>
      <w:pPr>
        <w:pStyle w:val="Normal"/>
        <w:spacing w:lineRule="exact" w:line="360" w:before="0" w:after="160"/>
        <w:jc w:val="both"/>
        <w:rPr/>
      </w:pPr>
      <w:r>
        <w:rPr>
          <w:rFonts w:eastAsia="Times New Roman" w:cs="Times New Roman"/>
          <w:sz w:val="24"/>
          <w:szCs w:val="24"/>
        </w:rPr>
        <w:t>Wellman, B., Hogan, B., Berg, K., et al. (2005). Connected lives: The project. In P. Purcell (Ed.), Networked neighbourhoods (pp. 1–50). Springer.</w:t>
      </w:r>
    </w:p>
    <w:p>
      <w:pPr>
        <w:pStyle w:val="Normal"/>
        <w:spacing w:lineRule="exact" w:line="360" w:before="0" w:after="160"/>
        <w:jc w:val="both"/>
        <w:rPr/>
      </w:pPr>
      <w:r>
        <w:rPr>
          <w:rFonts w:eastAsia="Times New Roman" w:cs="Times New Roman"/>
          <w:sz w:val="24"/>
          <w:szCs w:val="24"/>
        </w:rPr>
        <w:t>Wenger, E. (1998). Communities of practice: Learning, meaning and identity. Cambridge University Press.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208"/>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20" w:after="16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000000"/>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7</Pages>
  <Words>2690</Words>
  <Characters>16735</Characters>
  <CharactersWithSpaces>19404</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2026-04-27T04:12:34Z</dcterms:created>
  <dc:creator>Un-named</dc:creator>
  <dc:description/>
  <dc:language>en-US</dc:language>
  <cp:lastModifiedBy/>
  <dcterms:modified xsi:type="dcterms:W3CDTF">2026-04-27T10:15:23Z</dcterms:modified>
  <cp:revision>2</cp:revision>
  <dc:subject/>
  <dc:title/>
</cp:coreProperties>
</file>