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864"/>
        </w:rPr>
        <w:t xml:space="preserve">shaamini_new — Guide &amp; Map</w:t>
      </w:r>
    </w:p>
    <w:p>
      <w:pPr>
        <w:spacing w:after="120"/>
        <w:rPr>
          <w:i/>
          <w:iCs/>
          <w:color w:val="555555"/>
        </w:rPr>
      </w:pPr>
      <w:r>
        <w:rPr>
          <w:i/>
          <w:iCs/>
          <w:color w:val="555555"/>
        </w:rPr>
        <w:t xml:space="preserve">The self-contained UK Business Dynamism handoff package. Everything needed to read, verify, and rebuild the database is inside this one folder (~8.4 GB, almost all of it the database file).</w:t>
      </w:r>
    </w:p>
    <w:p>
      <w:pPr>
        <w:pStyle w:val="Heading1"/>
        <w:spacing w:after="100" w:before="200"/>
      </w:pPr>
      <w:r>
        <w:rPr>
          <w:color w:val="2E5496"/>
        </w:rPr>
        <w:t xml:space="preserve">Where to start</w:t>
      </w:r>
    </w:p>
    <w:p>
      <w:pPr>
        <w:pStyle w:val="ListParagraph"/>
        <w:numPr>
          <w:ilvl w:val="0"/>
          <w:numId w:val="1"/>
        </w:numPr>
        <w:spacing w:after="80"/>
      </w:pPr>
      <w:r>
        <w:rPr>
          <w:b/>
          <w:bCs/>
        </w:rPr>
        <w:t xml:space="preserve">Just want the data? </w:t>
      </w:r>
      <w:r>
        <w:t xml:space="preserve">→ deliverables/ — clean CSVs and two Excel workbooks, every value with a source.</w:t>
      </w:r>
    </w:p>
    <w:p>
      <w:pPr>
        <w:pStyle w:val="ListParagraph"/>
        <w:numPr>
          <w:ilvl w:val="0"/>
          <w:numId w:val="1"/>
        </w:numPr>
        <w:spacing w:after="80"/>
      </w:pPr>
      <w:r>
        <w:rPr>
          <w:b/>
          <w:bCs/>
        </w:rPr>
        <w:t xml:space="preserve">Want the whole database? </w:t>
      </w:r>
      <w:r>
        <w:t xml:space="preserve">→ database/business_dynamism_v2_20260824d.duckdb — one file, 21 tables, opens in DuckDB with no cloud or login.</w:t>
      </w:r>
    </w:p>
    <w:p>
      <w:pPr>
        <w:pStyle w:val="ListParagraph"/>
        <w:numPr>
          <w:ilvl w:val="0"/>
          <w:numId w:val="1"/>
        </w:numPr>
        <w:spacing w:after="80"/>
      </w:pPr>
      <w:r>
        <w:rPr>
          <w:b/>
          <w:bCs/>
        </w:rPr>
        <w:t xml:space="preserve">Want to rebuild it? </w:t>
      </w:r>
      <w:r>
        <w:t xml:space="preserve">→ python/ + sql/ + docs/.</w:t>
      </w:r>
    </w:p>
    <w:p>
      <w:pPr>
        <w:pStyle w:val="Heading1"/>
        <w:spacing w:after="100" w:before="220"/>
      </w:pPr>
      <w:r>
        <w:rPr>
          <w:color w:val="2E5496"/>
        </w:rPr>
        <w:t xml:space="preserve">Folder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D0D0D0" w:sz="4"/>
              <w:left w:val="single" w:color="D0D0D0" w:sz="4"/>
              <w:bottom w:val="single" w:color="D0D0D0" w:sz="4"/>
              <w:right w:val="single" w:color="D0D0D0" w:sz="4"/>
            </w:tcBorders>
            <w:shd w:fill="1F3864" w:val="clear"/>
            <w:tcMar>
              <w:top w:type="dxa" w:w="60"/>
              <w:left w:type="dxa" w:w="120"/>
              <w:bottom w:type="dxa" w:w="60"/>
              <w:right w:type="dxa" w:w="120"/>
            </w:tcMar>
          </w:tcPr>
          <w:p>
            <w:r>
              <w:rPr>
                <w:b/>
                <w:bCs/>
                <w:color w:val="FFFFFF"/>
                <w:sz w:val="19"/>
                <w:szCs w:val="19"/>
              </w:rPr>
              <w:t xml:space="preserve">Folder</w:t>
            </w:r>
          </w:p>
        </w:tc>
        <w:tc>
          <w:tcPr>
            <w:tcW w:type="dxa" w:w="1100"/>
            <w:tcBorders>
              <w:top w:val="single" w:color="D0D0D0" w:sz="4"/>
              <w:left w:val="single" w:color="D0D0D0" w:sz="4"/>
              <w:bottom w:val="single" w:color="D0D0D0" w:sz="4"/>
              <w:right w:val="single" w:color="D0D0D0" w:sz="4"/>
            </w:tcBorders>
            <w:shd w:fill="1F3864" w:val="clear"/>
            <w:tcMar>
              <w:top w:type="dxa" w:w="60"/>
              <w:left w:type="dxa" w:w="120"/>
              <w:bottom w:type="dxa" w:w="60"/>
              <w:right w:type="dxa" w:w="120"/>
            </w:tcMar>
          </w:tcPr>
          <w:p>
            <w:r>
              <w:rPr>
                <w:b/>
                <w:bCs/>
                <w:color w:val="FFFFFF"/>
                <w:sz w:val="19"/>
                <w:szCs w:val="19"/>
              </w:rPr>
              <w:t xml:space="preserve">Size</w:t>
            </w:r>
          </w:p>
        </w:tc>
        <w:tc>
          <w:tcPr>
            <w:tcW w:type="dxa" w:w="6360"/>
            <w:tcBorders>
              <w:top w:val="single" w:color="D0D0D0" w:sz="4"/>
              <w:left w:val="single" w:color="D0D0D0" w:sz="4"/>
              <w:bottom w:val="single" w:color="D0D0D0" w:sz="4"/>
              <w:right w:val="single" w:color="D0D0D0" w:sz="4"/>
            </w:tcBorders>
            <w:shd w:fill="1F3864" w:val="clear"/>
            <w:tcMar>
              <w:top w:type="dxa" w:w="60"/>
              <w:left w:type="dxa" w:w="120"/>
              <w:bottom w:type="dxa" w:w="60"/>
              <w:right w:type="dxa" w:w="120"/>
            </w:tcMar>
          </w:tcPr>
          <w:p>
            <w:r>
              <w:rPr>
                <w:b/>
                <w:bCs/>
                <w:color w:val="FFFFFF"/>
                <w:sz w:val="19"/>
                <w:szCs w:val="19"/>
              </w:rPr>
              <w:t xml:space="preserve">What's in it</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database/</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8.4 GB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Canonical single-file DuckDB (21 tables) + a .zst compressed backup.</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deliverables/</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22 MB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The ready-to-use outputs: 2 Excel workbooks + consolidated/, ftse/, sp500/ CSVs.</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source_inputs/</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26 MB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Raw and handover CSVs the database was built from.</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python/</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220 KB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All build &amp; fetch scripts.</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sql/</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64 KB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The DuckDB build steps 01–12, run in order.</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docs/</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32 KB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Handoff specs &amp; method notes.</w:t>
            </w:r>
          </w:p>
        </w:tc>
      </w:tr>
      <w:tr>
        <w:tc>
          <w:tcPr>
            <w:tcW w:type="dxa" w:w="19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onsolas" w:cs="Consolas" w:eastAsia="Consolas" w:hAnsi="Consolas"/>
                <w:sz w:val="19"/>
                <w:szCs w:val="19"/>
              </w:rPr>
              <w:t xml:space="preserve">reports/</w:t>
            </w:r>
          </w:p>
        </w:tc>
        <w:tc>
          <w:tcPr>
            <w:tcW w:type="dxa" w:w="11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112 KB</w:t>
            </w:r>
          </w:p>
        </w:tc>
        <w:tc>
          <w:tcPr>
            <w:tcW w:type="dxa" w:w="6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sz w:val="19"/>
                <w:szCs w:val="19"/>
              </w:rPr>
              <w:t xml:space="preserve">Standalone HTML reports (open in a browser).</w:t>
            </w:r>
          </w:p>
        </w:tc>
      </w:tr>
    </w:tbl>
    <w:p>
      <w:pPr>
        <w:pStyle w:val="Heading1"/>
        <w:spacing w:after="100" w:before="240"/>
      </w:pPr>
      <w:r>
        <w:rPr>
          <w:color w:val="2E5496"/>
        </w:rPr>
        <w:t xml:space="preserve">deliverables/ in detail</w:t>
      </w:r>
    </w:p>
    <w:p>
      <w:pPr>
        <w:spacing w:after="120"/>
      </w:pPr>
      <w:r>
        <w:rPr>
          <w:b/>
          <w:bCs/>
        </w:rPr>
        <w:t xml:space="preserve">Two Excel workbooks</w:t>
      </w:r>
      <w:r>
        <w:t xml:space="preserve"> (the “source” files): ftse_sources.xlsx and sp500_sources.xlsx. Each has one tab per financial parameter — Revenue, Net Income, Total Assets, Market Cap, Shares, plus FTSE Share Price / Dividend or S&amp;P Employees — with every value paired to a source_url. Each also has a Spine tab (identity + entry/exit dates with their source) and a Birth/Founding tab.</w:t>
      </w:r>
    </w:p>
    <w:p>
      <w:pPr>
        <w:spacing w:after="120"/>
      </w:pPr>
      <w:r>
        <w:rPr>
          <w:b/>
          <w:bCs/>
        </w:rPr>
        <w:t xml:space="preserve">consolidated/</w:t>
      </w:r>
      <w:r>
        <w:t xml:space="preserve"> — the wide “everything in one sheet” views (FTSE100_consolidated.csv, SP500_consolidated.csv, now including entry/exit-date sources), the founding-date files, and the “genuinely new company at index entry” analysis (entrants_classified, entrant_final_summary, adjudication_*).</w:t>
      </w:r>
    </w:p>
    <w:p>
      <w:pPr>
        <w:spacing w:after="120"/>
      </w:pPr>
      <w:r>
        <w:rPr>
          <w:b/>
          <w:bCs/>
        </w:rPr>
        <w:t xml:space="preserve">ftse/ and sp500/</w:t>
      </w:r>
      <w:r>
        <w:t xml:space="preserve"> — one dedicated CSV per parameter, each with value + source_url. The *_spine.csv files hold identity + entry/exit dates: FTSE carries entry_source / exit_source (LSEG “Historic Additions &amp; Deletions” for exits, the CBP 1984 launch roster for founders — citations, because the LSEG source is licensed); S&amp;P carries entry_source_url / exit_source_url (real per-company links — Wurgler S&amp;P-changes dataset, SEC, SPGlobal press releases).</w:t>
      </w:r>
    </w:p>
    <w:p>
      <w:pPr>
        <w:pStyle w:val="Heading1"/>
        <w:spacing w:after="100" w:before="240"/>
      </w:pPr>
      <w:r>
        <w:rPr>
          <w:color w:val="2E5496"/>
        </w:rPr>
        <w:t xml:space="preserve">database/ — the DuckDB file</w:t>
      </w:r>
    </w:p>
    <w:p>
      <w:pPr>
        <w:spacing w:after="120"/>
      </w:pPr>
      <w:r>
        <w:t xml:space="preserve">One file, no server. Open it read-only:</w:t>
      </w:r>
    </w:p>
    <w:p>
      <w:pPr>
        <w:shd w:fill="F4F4F4" w:val="clear"/>
        <w:spacing w:after="40"/>
      </w:pPr>
      <w:r>
        <w:rPr>
          <w:rFonts w:ascii="Consolas" w:cs="Consolas" w:eastAsia="Consolas" w:hAnsi="Consolas"/>
          <w:sz w:val="18"/>
          <w:szCs w:val="18"/>
        </w:rPr>
        <w:t xml:space="preserve">python3 -c "import duckdb; c=duckdb.connect('database/business_dynamism_v2_20260824d.duckdb', read_only=True); print(c.execute('show tables').fetchall())"</w:t>
      </w:r>
    </w:p>
    <w:p>
      <w:pPr>
        <w:spacing w:after="120"/>
      </w:pPr>
      <w:r>
        <w:t xml:space="preserve">Key tables: combined_firm_year (39.4M), firm_year_panel (39.1M), firm_master (7.9M), companies (5.7M), exit_events (583k), gazette_events (1.0M), ch_company_profile (384k), plus FTSE overlays (ftse100_*, ftse_birth_audited) and S&amp;P overlays (sp500_financials with the market-cap boost, sp500_consolidated, sp500_founding, sp500_membership, sp500_sec_supplement). _build_info records the build provenance.</w:t>
      </w:r>
    </w:p>
    <w:p>
      <w:pPr>
        <w:pStyle w:val="Heading1"/>
        <w:spacing w:after="100" w:before="240"/>
      </w:pPr>
      <w:r>
        <w:rPr>
          <w:color w:val="2E5496"/>
        </w:rPr>
        <w:t xml:space="preserve">Rebuilding / refreshing</w:t>
      </w:r>
    </w:p>
    <w:p>
      <w:pPr>
        <w:spacing w:after="120"/>
      </w:pPr>
      <w:r>
        <w:t xml:space="preserve">Data lives in Neon (cloud Postgres) and is folded into the DuckDB file. Typical sequence:</w:t>
      </w:r>
    </w:p>
    <w:p>
      <w:pPr>
        <w:pStyle w:val="ListParagraph"/>
        <w:numPr>
          <w:ilvl w:val="0"/>
          <w:numId w:val="1"/>
        </w:numPr>
        <w:spacing w:after="80"/>
      </w:pPr>
      <w:r>
        <w:rPr>
          <w:b/>
          <w:bCs/>
        </w:rPr>
        <w:t xml:space="preserve">1. </w:t>
      </w:r>
      <w:r>
        <w:t xml:space="preserve">commit_marketdata_fast.py — commits staged CSVs from source_inputs/ to Neon, fill-where-null.</w:t>
      </w:r>
    </w:p>
    <w:p>
      <w:pPr>
        <w:pStyle w:val="ListParagraph"/>
        <w:numPr>
          <w:ilvl w:val="0"/>
          <w:numId w:val="1"/>
        </w:numPr>
        <w:spacing w:after="80"/>
      </w:pPr>
      <w:r>
        <w:rPr>
          <w:b/>
          <w:bCs/>
        </w:rPr>
        <w:t xml:space="preserve">2. </w:t>
      </w:r>
      <w:r>
        <w:t xml:space="preserve">BD_DUCKDB=&lt;path&gt; build_duckdb.py neon — pulls the 10 market/membership/crawl tables from Neon into the DuckDB.</w:t>
      </w:r>
    </w:p>
    <w:p>
      <w:pPr>
        <w:pStyle w:val="ListParagraph"/>
        <w:numPr>
          <w:ilvl w:val="0"/>
          <w:numId w:val="1"/>
        </w:numPr>
        <w:spacing w:after="80"/>
      </w:pPr>
      <w:r>
        <w:rPr>
          <w:b/>
          <w:bCs/>
        </w:rPr>
        <w:t xml:space="preserve">3. </w:t>
      </w:r>
      <w:r>
        <w:t xml:space="preserve">build_source_workbooks.py then add_spine_sources.py — regenerate the two workbooks and re-add the Spine/consolidated source columns.</w:t>
      </w:r>
    </w:p>
    <w:p>
      <w:pPr>
        <w:spacing w:after="120"/>
      </w:pPr>
      <w:r>
        <w:t xml:space="preserve">sql/01…12 are the from-scratch build of the whole-population panel; docs/ explains each handoff.</w:t>
      </w:r>
    </w:p>
    <w:p>
      <w:pPr>
        <w:pStyle w:val="Heading1"/>
        <w:spacing w:after="100" w:before="240"/>
      </w:pPr>
      <w:r>
        <w:rPr>
          <w:color w:val="2E5496"/>
        </w:rPr>
        <w:t xml:space="preserve">Provenance rule</w:t>
      </w:r>
    </w:p>
    <w:p>
      <w:pPr>
        <w:spacing w:after="120"/>
      </w:pPr>
      <w:r>
        <w:t xml:space="preserve">Every value is either a sourced fact carrying a source_url (or a document citation where the source is licensed and has no public URL), or it is left blank. Nothing is fabricated, and fills never overwrite an existing good value. “Better blank than wrong” — especially for founding dates, where a later holding-company date would falsely make an old firm look new (those are parked separately in legal_entity_founded_year, never used as the founding date).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2026-08-25T08:25:10.348Z</dcterms:created>
  <dcterms:modified xsi:type="dcterms:W3CDTF">2026-08-25T08:25:10.348Z</dcterms:modified>
</cp:coreProperties>
</file>

<file path=docProps/custom.xml><?xml version="1.0" encoding="utf-8"?>
<Properties xmlns="http://schemas.openxmlformats.org/officeDocument/2006/custom-properties" xmlns:vt="http://schemas.openxmlformats.org/officeDocument/2006/docPropsVTypes"/>
</file>