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1F5E7" w14:textId="77777777" w:rsidR="00362633" w:rsidRDefault="00000000">
      <w:pPr>
        <w:spacing w:after="240"/>
        <w:jc w:val="center"/>
      </w:pPr>
      <w:r>
        <w:rPr>
          <w:b/>
          <w:bCs/>
          <w:color w:val="1F3864"/>
          <w:sz w:val="32"/>
          <w:szCs w:val="32"/>
        </w:rPr>
        <w:t>LLM-Assisted ctDNA Mutation Calling: Integrative Reasoning for Low-Frequency Somatic Variant Detection in Liquid Biopsy</w:t>
      </w:r>
    </w:p>
    <w:p w14:paraId="4641F5E8" w14:textId="77777777" w:rsidR="00362633" w:rsidRDefault="00000000">
      <w:pPr>
        <w:spacing w:after="80"/>
        <w:jc w:val="center"/>
      </w:pPr>
      <w:r>
        <w:rPr>
          <w:i/>
          <w:iCs/>
          <w:color w:val="444444"/>
          <w:sz w:val="24"/>
          <w:szCs w:val="24"/>
        </w:rPr>
        <w:t>A Scholarly Review Section for a Computational Oncology Paper</w:t>
      </w:r>
    </w:p>
    <w:p w14:paraId="4641F5E9" w14:textId="77777777" w:rsidR="00362633" w:rsidRDefault="00362633">
      <w:pPr>
        <w:pBdr>
          <w:bottom w:val="single" w:sz="6" w:space="0" w:color="1F3864"/>
        </w:pBdr>
        <w:spacing w:after="360"/>
      </w:pPr>
    </w:p>
    <w:p w14:paraId="4641F5EA" w14:textId="77777777" w:rsidR="00362633" w:rsidRDefault="00000000">
      <w:pPr>
        <w:spacing w:after="120"/>
        <w:jc w:val="center"/>
      </w:pPr>
      <w:r>
        <w:rPr>
          <w:b/>
          <w:bCs/>
          <w:sz w:val="24"/>
          <w:szCs w:val="24"/>
        </w:rPr>
        <w:t>Abstract</w:t>
      </w:r>
    </w:p>
    <w:p w14:paraId="4641F5EB" w14:textId="77777777" w:rsidR="00362633" w:rsidRDefault="00000000">
      <w:pPr>
        <w:spacing w:after="240" w:line="360" w:lineRule="auto"/>
        <w:jc w:val="both"/>
      </w:pPr>
      <w:r>
        <w:t>The integration of large language models (LLMs) into circulating tumor DNA (ctDNA) mutation calling represents a paradigm shift in computational oncology, transitioning variant interpretation from rule-bound statistical thresholding toward biologically contextualized, evidence-synthesis reasoning. At the ultra-low variant allele frequencies (VAFs) characteristic of early-stage liquid biopsy — frequently below 1%, and in minimal residual disease settings below 0.1% — conventional bioinformatics pipelines face an irreconcilable trade-off between sensitivity and specificity that renders them clinically inadequate as standalone tools. This review critically examines the mechanistic rationale, architectural design, emerging empirical evidence, and outstanding limitations of LLM-assisted mutation calling approaches in the ctDNA domain. We analyze how LLMs function as integrative reasoning layers capable of synthesizing heterogeneous evidence streams — including VAF signal architecture, fragmentomic profiles, strand-asymmetry patterns, mutational signatures, copy-number context, clonal hematopoiesis annotations, population-frequency databases, and clinical oncogene ontologies — into unified variant interpretation decisions supported by natural language justification. We further review advances in genomics foundation models, retrieval-augmented generation (RAG) frameworks, and hybrid LLM–bioinformatics pipeline architectures, while critically appraising persistent limitations including hallucination risk, reproducibility constraints, benchmark deficiencies, training bias, explainability gaps, and regulatory barriers to clinical deployment. The review concludes with a prospective analysis of future research directions necessary to establish LLM-assisted ctDNA calling as a validated, clinically reliable methodology.</w:t>
      </w:r>
    </w:p>
    <w:p w14:paraId="4641F5EC" w14:textId="77777777" w:rsidR="00362633" w:rsidRDefault="00000000">
      <w:pPr>
        <w:spacing w:after="360"/>
        <w:jc w:val="both"/>
      </w:pPr>
      <w:r>
        <w:rPr>
          <w:b/>
          <w:bCs/>
        </w:rPr>
        <w:t xml:space="preserve">Keywords: </w:t>
      </w:r>
      <w:r>
        <w:rPr>
          <w:i/>
          <w:iCs/>
        </w:rPr>
        <w:t>circulating tumor DNA, ctDNA, large language models, somatic mutation calling, variant allele frequency, liquid biopsy, retrieval-augmented generation, fragmentomics, mutational signatures, computational oncology</w:t>
      </w:r>
    </w:p>
    <w:p w14:paraId="4641F5ED" w14:textId="77777777" w:rsidR="00362633" w:rsidRDefault="00000000">
      <w:pPr>
        <w:pStyle w:val="Heading1"/>
      </w:pPr>
      <w:r>
        <w:t>1. The Signal Architecture of ctDNA and the Limits of Conventional Calling</w:t>
      </w:r>
    </w:p>
    <w:p w14:paraId="4641F5EE" w14:textId="77777777" w:rsidR="00362633" w:rsidRDefault="00000000">
      <w:pPr>
        <w:pStyle w:val="Heading2"/>
      </w:pPr>
      <w:r>
        <w:t>1.1 VAF as a Topology of Biological Complexity</w:t>
      </w:r>
    </w:p>
    <w:p w14:paraId="4641F5EF" w14:textId="77777777" w:rsidR="00362633" w:rsidRDefault="00000000">
      <w:pPr>
        <w:spacing w:after="160" w:line="360" w:lineRule="auto"/>
        <w:ind w:firstLine="720"/>
        <w:jc w:val="both"/>
      </w:pPr>
      <w:r>
        <w:t xml:space="preserve">The variant allele frequency is not merely a technical measurement — it is a compressed topological encoding of multiple intersecting biological processes operating simultaneously within the tumor-host system. At any given genomic locus in a ctDNA sequencing experiment, the observed VAF is the algebraic product of the fractional abundance of tumor DNA in the plasma pool, the clonal prevalence </w:t>
      </w:r>
      <w:r>
        <w:lastRenderedPageBreak/>
        <w:t>of the mutation within the tumor, the local copy-number state of the genomic segment harboring the mutation, and the ploidy of the tumor genome [Ref]. A VAF of 0.3% observed in a ctDNA assay could reflect a highly prevalent subclonal mutation in a tumor contributing only 0.6% of total plasma cfDNA, an early clonal mutation in a tumor contributing 0.3% of cfDNA, or a polyclonal resistance mutation present in multiple subclones each at extremely low abundance [Ref]. Disentangling these contributing factors from the VAF signal alone is statistically intractable without ancillary evidence, and this topological complexity is precisely the domain in which LLM-mediated reasoning offers transformative potential.</w:t>
      </w:r>
    </w:p>
    <w:p w14:paraId="4641F5F0" w14:textId="77777777" w:rsidR="00362633" w:rsidRDefault="00000000">
      <w:pPr>
        <w:spacing w:after="160" w:line="360" w:lineRule="auto"/>
        <w:ind w:firstLine="720"/>
        <w:jc w:val="both"/>
      </w:pPr>
      <w:r>
        <w:t>As illustrated by the VAF distribution stratified by LLM-assisted call category observed in this pipeline's cohort outputs — where high-confidence somatic calls cluster at VAFs of approximately 0.25–0.30 while lower-confidence calls distribute more broadly across the 0.05–0.50 range — the relationship between VAF and classification confidence is non-monotonic and context-dependent. A variant at VAF 0.28 occurring in KRAS codon 12 within a microsatellite-stable colorectal cancer patient with concordant fragmentomic evidence warrants high-confidence somatic classification, while the identical VAF in an intergenic region with no supporting mutational signature concordance warrants artifact classification [Ref]. Conventional threshold-based callers, which treat VAF as a scalar filter parameter rather than a multidimensional evidence coordinate, are structurally incapable of this context-aware discrimination.</w:t>
      </w:r>
    </w:p>
    <w:p w14:paraId="4641F5F1" w14:textId="77777777" w:rsidR="00362633" w:rsidRDefault="00000000">
      <w:pPr>
        <w:pStyle w:val="Heading2"/>
      </w:pPr>
      <w:r>
        <w:t>1.2 The Multi-Dimensional Noise Topology of ctDNA Sequencing</w:t>
      </w:r>
    </w:p>
    <w:p w14:paraId="4641F5F2" w14:textId="77777777" w:rsidR="00362633" w:rsidRDefault="00000000">
      <w:pPr>
        <w:spacing w:after="160" w:line="360" w:lineRule="auto"/>
        <w:ind w:firstLine="720"/>
        <w:jc w:val="both"/>
      </w:pPr>
      <w:r>
        <w:t>The noise landscape of ctDNA next-generation sequencing is not uniform — it is structured into distinct artifact classes, each with characteristic signatures that partially overlap with genuine somatic mutation patterns at low VAFs. Oxidative DNA damage, specifically the 8-oxoguanine lesion produced by reactive oxygen species during sample handling and library preparation, generates spurious C→A transversions predominantly on the forward sequencing strand, creating an artifact signature that can be partially discriminated from Mutational Signature SBS18 (associated with reactive oxygen species in cancer) but not eliminated by standard base quality recalibration [Ref]. FFPE-associated deamination of cytosine, while less relevant for fresh plasma cfDNA, introduces C→T transitions resembling SBS1 and SBS5 in aged samples. PCR polymerase-mediated mis-extension during initial library amplification generates stochastic misincorporations that lack the strand-balanced representation characteristic of genuine duplex mutations, producing a quantifiable strand bias asymmetry that is a key discriminating feature [Ref].</w:t>
      </w:r>
    </w:p>
    <w:p w14:paraId="4641F5F3" w14:textId="77777777" w:rsidR="00362633" w:rsidRDefault="00000000">
      <w:pPr>
        <w:spacing w:after="160" w:line="360" w:lineRule="auto"/>
        <w:ind w:firstLine="720"/>
        <w:jc w:val="both"/>
      </w:pPr>
      <w:r>
        <w:t xml:space="preserve">Critically, none of these artifact classes can be categorically excluded by any single quality metric in the ultra-low VAF regime. A PCR artifact generating 3 supporting reads out of 3,000 at a locus with known cancer driver relevance cannot be distinguished from a genuine subclonal EGFR mutation at VAF 0.1% by strand balance, base quality, or positional criteria in isolation [Ref]. It is only through the </w:t>
      </w:r>
      <w:r>
        <w:lastRenderedPageBreak/>
        <w:t>simultaneous interrogation of all available evidence dimensions — mutational context trinucleotide composition, known hotspot prevalence in COSMIC, absence of the variant in population databases such as gnomAD, VAF concordance with estimated tumor fraction from other loci, and clinical history of prior EGFR-targeted therapy — that a confident biological classification becomes possible. This multi-evidence synthesis is the structural niche occupied by LLM reasoning in the variant calling architecture.</w:t>
      </w:r>
    </w:p>
    <w:p w14:paraId="4641F5F4" w14:textId="77777777" w:rsidR="00362633" w:rsidRDefault="00000000">
      <w:pPr>
        <w:pStyle w:val="Heading2"/>
      </w:pPr>
      <w:r>
        <w:t>1.3 Fragmentomics and Nucleosomal Context as Ancillary Signal Dimensions</w:t>
      </w:r>
    </w:p>
    <w:p w14:paraId="4641F5F5" w14:textId="77777777" w:rsidR="00362633" w:rsidRDefault="00000000">
      <w:pPr>
        <w:spacing w:after="160" w:line="360" w:lineRule="auto"/>
        <w:ind w:firstLine="720"/>
        <w:jc w:val="both"/>
      </w:pPr>
      <w:r>
        <w:t>Beyond sequence-level variant calls, the physical characteristics of ctDNA fragments encode an orthogonal information layer relevant to mutation calling accuracy. Tumor-derived cfDNA fragments exhibit characteristically shorter lengths — centered around 143–145 bp compared to the 167 bp nucleosomal repeat length of normal somatic cell cfDNA — reflecting the aberrant chromatin structure and nucleosomal phasing of cancer cells [Ref]. Mutations supported predominantly by short fragments consistent with tumor-derived size distributions provide independent corroborating evidence of somatic origin that supplements the VAF signal. Conversely, mutations supported primarily by fragments in the normal 167 bp size range are more consistent with clonal hematopoiesis of indeterminate potential (CHIP) or other constitutional sources, even when normal sample contamination subtraction removes the majority of germline signal [Ref].</w:t>
      </w:r>
    </w:p>
    <w:p w14:paraId="4641F5F6" w14:textId="77777777" w:rsidR="00362633" w:rsidRDefault="00000000">
      <w:pPr>
        <w:spacing w:after="160" w:line="360" w:lineRule="auto"/>
        <w:ind w:firstLine="720"/>
        <w:jc w:val="both"/>
      </w:pPr>
      <w:r>
        <w:t>Nucleosome positioning footprints in cfDNA reflect the gene regulatory architecture of the cells from which fragments were released, providing tissue-of-origin information that can contextualize somatic calls in terms of their cancer-type biological plausibility [Ref]. End-motif composition of cfDNA fragment termini — determined by the nuclease specificity of the apoptotic machinery — differs between tumor and normal cell populations, offering an additional orthogonal discriminator. The integration of fragmentomic evidence into variant classification — currently performed by specialized algorithms such as Griffin and DELFI — represents a feature set that LLMs equipped with the appropriate retrieval tools and structured prompting can be conditioned to incorporate into their reasoning chains, transforming fragmentomic summary statistics into evidence-integrated classification decisions [Ref].</w:t>
      </w:r>
    </w:p>
    <w:p w14:paraId="4641F5F7" w14:textId="77777777" w:rsidR="00362633" w:rsidRDefault="00000000">
      <w:pPr>
        <w:pStyle w:val="Heading1"/>
      </w:pPr>
      <w:r>
        <w:t>2. LLMs as Evidence-Synthesis Layers: Mechanistic Architecture</w:t>
      </w:r>
    </w:p>
    <w:p w14:paraId="4641F5F8" w14:textId="77777777" w:rsidR="00362633" w:rsidRDefault="00000000">
      <w:pPr>
        <w:pStyle w:val="Heading2"/>
      </w:pPr>
      <w:r>
        <w:t>2.1 From Predictive Models to Reasoning Engines</w:t>
      </w:r>
    </w:p>
    <w:p w14:paraId="4641F5F9" w14:textId="77777777" w:rsidR="00362633" w:rsidRDefault="00000000">
      <w:pPr>
        <w:spacing w:after="160" w:line="360" w:lineRule="auto"/>
        <w:ind w:firstLine="720"/>
        <w:jc w:val="both"/>
      </w:pPr>
      <w:r>
        <w:t xml:space="preserve">The conceptual distinction between LLMs as reasoning engines versus predictive models is not semantic — it has direct implications for how they should be deployed in variant calling architectures. Conventional machine learning classifiers for somatic mutation detection, including ensemble models such as SomaticSeq and deep learning models such as DeepSomatic, function as discriminative learners: they </w:t>
      </w:r>
      <w:r>
        <w:lastRenderedPageBreak/>
        <w:t>map input feature vectors to output class probabilities through learned transformations that are not interpretable in terms of the biological reasoning that a human expert would apply [Ref]. The confidence scores they produce are calibration artifacts, not biological assessments. LLMs, by contrast, generate tokens sequentially through a process that is functionally analogous to textual reasoning — constructing arguments, evaluating evidence, weighing alternative hypotheses, and arriving at conclusions through language — rather than projecting inputs through learned weight matrices in a manner that is entirely opaque to linguistic interpretation [Ref].</w:t>
      </w:r>
    </w:p>
    <w:p w14:paraId="4641F5FA" w14:textId="77777777" w:rsidR="00362633" w:rsidRDefault="00000000">
      <w:pPr>
        <w:spacing w:after="160" w:line="360" w:lineRule="auto"/>
        <w:ind w:firstLine="720"/>
        <w:jc w:val="both"/>
      </w:pPr>
      <w:r>
        <w:t>This reasoning capacity is consequential for ctDNA mutation calling because the clinical classification of low-VAF somatic variants is not a pattern recognition problem amenable to statistical interpolation from training examples — it is a knowledge integration problem requiring simultaneous access to cancer biology, clinical context, database annotation, and sequencing quality assessment [Ref]. When a candidate variant at VAF 0.4% in TP53 codon 248 is evaluated by an LLM reasoning chain, the model can access its encoded knowledge of the frequency of R248W and R248Q hotspot mutations in COSMIC across cancer types, the loss-of-heterozygosity context that would amplify the functional impact of a heterozygous mutation, the patient's cancer type and treatment history, the concordance of the trinucleotide context with Mutational Signature SBS5, and the absence of the variant from population databases — synthesizing all of these into a coherent, transparent classification with natural language justification that neither a threshold filter nor a neural network could produce [Ref].</w:t>
      </w:r>
    </w:p>
    <w:p w14:paraId="4641F5FB" w14:textId="77777777" w:rsidR="00362633" w:rsidRDefault="00000000">
      <w:pPr>
        <w:pStyle w:val="Heading2"/>
      </w:pPr>
      <w:r>
        <w:t>2.2 Chain-of-Thought Prompting and Structured Variant Interpretation</w:t>
      </w:r>
    </w:p>
    <w:p w14:paraId="4641F5FC" w14:textId="77777777" w:rsidR="00362633" w:rsidRDefault="00000000">
      <w:pPr>
        <w:spacing w:after="160" w:line="360" w:lineRule="auto"/>
        <w:ind w:firstLine="720"/>
        <w:jc w:val="both"/>
      </w:pPr>
      <w:r>
        <w:t>Chain-of-thought (CoT) prompting, introduced by Wei and colleagues as a method for improving multi-step reasoning in LLMs, has particular relevance for structured genomic variant interpretation tasks [Ref]. By instructing the model to reason through an explicit sequence of interpretive steps — (i) assess sequencing quality evidence, (ii) evaluate biological plausibility from cancer database annotations, (iii) assess mutational context and signature concordance, (iv) consider clinical treatment context, and (v) synthesize a classification decision with a confidence category — CoT prompting forces the model to construct an evidence chain that mirrors the reasoning process of a trained molecular pathologist [Ref].</w:t>
      </w:r>
    </w:p>
    <w:p w14:paraId="4641F5FD" w14:textId="77777777" w:rsidR="00362633" w:rsidRDefault="00000000">
      <w:pPr>
        <w:spacing w:after="160" w:line="360" w:lineRule="auto"/>
        <w:ind w:firstLine="720"/>
        <w:jc w:val="both"/>
      </w:pPr>
      <w:r>
        <w:t xml:space="preserve">In the pipeline architecture evaluated in this work, structured prompt templates encode variant quality metrics — including VAF, total sequencing depth, allele read count, strand bias coefficient, and matched normal VAF — as structured natural language fields that the LLM reasoning module processes within a fixed biological interpretation schema. The prompt additionally provides gene-level annotation including known driver status from the COSMIC Cancer Gene Census [Ref], biological role classification (oncogene versus tumor suppressor), and curated hotspot prevalence data, enabling the model to reason </w:t>
      </w:r>
      <w:r>
        <w:lastRenderedPageBreak/>
        <w:t>about whether the specific amino acid change at the observed VAF is biologically consistent with a somatic driver event or more likely represents a passenger mutation or artifact. The output classification into four actionability tiers — somatic high-confidence, somatic low-confidence, germline, or sequencing artifact — provides a clinically meaningful graduated response rather than a binary call decision that discards nuance [Ref].</w:t>
      </w:r>
    </w:p>
    <w:p w14:paraId="4641F5FE" w14:textId="77777777" w:rsidR="00362633" w:rsidRDefault="00000000">
      <w:pPr>
        <w:pStyle w:val="Heading2"/>
      </w:pPr>
      <w:r>
        <w:t>2.3 Retrieval-Augmented Generation for Real-Time Database Integration</w:t>
      </w:r>
    </w:p>
    <w:p w14:paraId="4641F5FF" w14:textId="77777777" w:rsidR="00362633" w:rsidRDefault="00000000">
      <w:pPr>
        <w:spacing w:after="160" w:line="360" w:lineRule="auto"/>
        <w:ind w:firstLine="720"/>
        <w:jc w:val="both"/>
      </w:pPr>
      <w:r>
        <w:t>A fundamental limitation of LLMs operating from parametric knowledge alone is temporal and coverage-related: the model's encoded genomic knowledge reflects the training corpus composition at a fixed point in time, and cannot incorporate novel variant-phenotype associations, updated clinical actionability classifications from OncoKB, or newly curated COSMIC hotspot entries published after the training cutoff [Ref]. Retrieval-augmented generation (RAG) frameworks address this limitation by dynamically augmenting the model's context window with retrieved excerpts from current external databases at inference time, enabling the reasoning process to incorporate the most recent clinical and genomic evidence without requiring model retraining.</w:t>
      </w:r>
    </w:p>
    <w:p w14:paraId="4641F600" w14:textId="77777777" w:rsidR="00362633" w:rsidRDefault="00000000">
      <w:pPr>
        <w:spacing w:after="160" w:line="360" w:lineRule="auto"/>
        <w:ind w:firstLine="720"/>
        <w:jc w:val="both"/>
      </w:pPr>
      <w:r>
        <w:t>In the ctDNA mutation calling context, RAG architectures can be designed to retrieve ClinVar variant pathogenicity entries for the specific amino acid change under evaluation, COSMIC hotspot frequency data stratified by cancer type, OncoKB therapeutic actionability tiers with associated FDA-approved therapies, dbSNP and gnomAD population frequency entries confirming absence of the variant from germline databases, and published mutational signature decomposition results for the cancer type and treatment context [Ref]. The retrieved evidence is formatted as structured contextual passages and prepended to the reasoning prompt, effectively conditioning the model's classification decision on current database knowledge rather than stale parametric encodings. Studies applying RAG to genomic variant interpretation have reported substantial improvements in classification accuracy for rare and recently characterized variants, precisely the category most relevant to ctDNA driver mutation calling at ultra-low VAFs [Ref].</w:t>
      </w:r>
    </w:p>
    <w:p w14:paraId="4641F601" w14:textId="77777777" w:rsidR="00362633" w:rsidRDefault="00000000">
      <w:pPr>
        <w:spacing w:after="160" w:line="360" w:lineRule="auto"/>
        <w:ind w:firstLine="720"/>
        <w:jc w:val="both"/>
      </w:pPr>
      <w:r>
        <w:t xml:space="preserve">The implementation of efficient RAG pipelines for genomic applications requires careful architectural consideration of retrieval granularity, embedding space design, and context window management. Variant-centric retrieval at the amino acid change level (e.g., KRAS G12D) provides higher specificity than gene-level retrieval but requires comprehensive pre-indexed databases of per-residue evidence summaries [Ref]. Semantic similarity search using biologically contextualized embedding models — such as BioBERT or BioGPT, pre-trained on biomedical literature — outperforms generic embedding </w:t>
      </w:r>
      <w:r>
        <w:lastRenderedPageBreak/>
        <w:t>models on genomic text retrieval tasks, an important consideration for production RAG implementations in this domain [Ref].</w:t>
      </w:r>
    </w:p>
    <w:p w14:paraId="4641F602" w14:textId="77777777" w:rsidR="00362633" w:rsidRDefault="00000000">
      <w:pPr>
        <w:pStyle w:val="Heading1"/>
      </w:pPr>
      <w:r>
        <w:t>3. Genomics Foundation Models and the Emerging Biological Language Representation</w:t>
      </w:r>
    </w:p>
    <w:p w14:paraId="4641F603" w14:textId="77777777" w:rsidR="00362633" w:rsidRDefault="00000000">
      <w:pPr>
        <w:pStyle w:val="Heading2"/>
      </w:pPr>
      <w:r>
        <w:t>3.1 DNA Sequence Foundation Models and Their Relevance to Mutation Calling</w:t>
      </w:r>
    </w:p>
    <w:p w14:paraId="4641F604" w14:textId="77777777" w:rsidR="00362633" w:rsidRDefault="00000000">
      <w:pPr>
        <w:spacing w:after="160" w:line="360" w:lineRule="auto"/>
        <w:ind w:firstLine="720"/>
        <w:jc w:val="both"/>
      </w:pPr>
      <w:r>
        <w:t>Parallel to the development of text-based LLMs for clinical genomics interpretation, a distinct class of foundation models trained directly on DNA sequences has emerged as a complementary approach to encoding genomic biological knowledge. Models including Nucleotide Transformer, HyenaDNA, DNABERT-2, and the Evo series apply transformer and state-space model architectures to large-scale multi-species genome sequence corpora, learning latent representations of DNA sequence that capture regulatory grammar, evolutionary conservation, splice site architecture, and context-dependent nucleotide co-variation patterns [Ref]. These sequence-level representations encode information directly relevant to the functional impact assessment of somatic mutations — whether a point mutation disrupts a canonical splice acceptor dinucleotide, ablates a transcription factor binding motif, or introduces a premature termination codon — without requiring explicit rule encoding or database lookup [Ref].</w:t>
      </w:r>
    </w:p>
    <w:p w14:paraId="4641F605" w14:textId="77777777" w:rsidR="00362633" w:rsidRDefault="00000000">
      <w:pPr>
        <w:spacing w:after="160" w:line="360" w:lineRule="auto"/>
        <w:ind w:firstLine="720"/>
        <w:jc w:val="both"/>
      </w:pPr>
      <w:r>
        <w:t>The integration of DNA foundation model representations with clinical text LLMs represents a nascent but conceptually compelling direction for ctDNA mutation calling. A hybrid architecture might employ a DNA sequence model to generate a functional impact embedding for the variant's genomic context — encoding splice site integrity, regulatory element disruption, and coding consequence — and provide this embedding as structured input to a clinical LLM that synthesizes it with patient context, database annotations, and sequencing quality evidence to produce a final variant classification [Ref]. While such multimodal architectures remain largely at the prototype stage for somatic mutation calling applications, proof-of-concept studies in germline variant pathogenicity prediction have demonstrated that DNA sequence embeddings from foundation models provide additive predictive value over annotation-based features alone, suggesting substantial future potential in the somatic ctDNA calling context [Ref].</w:t>
      </w:r>
    </w:p>
    <w:p w14:paraId="4641F606" w14:textId="77777777" w:rsidR="00362633" w:rsidRDefault="00000000">
      <w:pPr>
        <w:pStyle w:val="Heading2"/>
      </w:pPr>
      <w:r>
        <w:t>3.2 Protein Language Models and Functional Consequence Encoding</w:t>
      </w:r>
    </w:p>
    <w:p w14:paraId="4641F607" w14:textId="77777777" w:rsidR="00362633" w:rsidRDefault="00000000">
      <w:pPr>
        <w:spacing w:after="160" w:line="360" w:lineRule="auto"/>
        <w:ind w:firstLine="720"/>
        <w:jc w:val="both"/>
      </w:pPr>
      <w:r>
        <w:t xml:space="preserve">For protein-coding somatic mutations — which constitute the majority of clinically actionable ctDNA variants — protein language models (pLMs) such as ESM-2, ESM-3, and AlphaFold-informed functional predictors provide an additional evidence dimension encoding the structural and functional consequences of amino acid substitutions [Ref]. pLM-derived evolutionary substitution scores, which quantify the degree to which a specific amino acid change is tolerated or destabilized relative to the evolutionary distribution of residues at that position across species, have demonstrated robust correlation </w:t>
      </w:r>
      <w:r>
        <w:lastRenderedPageBreak/>
        <w:t>with experimentally measured protein functional impact and clinical variant pathogenicity across diverse protein families [Ref]. In the ctDNA somatic calling context, pLM evolutionary constraint scores can be incorporated as numerical features within LLM prompts, providing a computationally derived estimate of functional impact that supplements but does not replace COSMIC hotspot frequency data — particularly for rare or novel variants absent from curated databases.</w:t>
      </w:r>
    </w:p>
    <w:p w14:paraId="4641F608" w14:textId="77777777" w:rsidR="00362633" w:rsidRDefault="00000000">
      <w:pPr>
        <w:pStyle w:val="Heading1"/>
      </w:pPr>
      <w:r>
        <w:t>4. Hybrid LLM–Bioinformatics Pipeline Architecture</w:t>
      </w:r>
    </w:p>
    <w:p w14:paraId="4641F609" w14:textId="77777777" w:rsidR="00362633" w:rsidRDefault="00000000">
      <w:pPr>
        <w:pStyle w:val="Heading2"/>
      </w:pPr>
      <w:r>
        <w:t>4.1 Structural Design Principles for LLM Integration in Mutation Calling</w:t>
      </w:r>
    </w:p>
    <w:p w14:paraId="4641F60A" w14:textId="77777777" w:rsidR="00362633" w:rsidRDefault="00000000">
      <w:pPr>
        <w:spacing w:after="160" w:line="360" w:lineRule="auto"/>
        <w:ind w:firstLine="720"/>
        <w:jc w:val="both"/>
      </w:pPr>
      <w:r>
        <w:t>The structural integration of LLM reasoning into a bioinformatics mutation calling pipeline is not a matter of replacing conventional callers with LLM API calls — such a direct substitution would be computationally prohibitive, economically unsustainable, and epistemically inappropriate for the routine quality filtering operations that statistical tools handle efficiently. Rather, effective hybrid architectures assign each processing stage to the tool class best suited to it, with LLM reasoning reserved for the ambiguous, biologically complex, and clinically consequential variant classification decisions that fall beyond the discriminatory capacity of statistical methods [Ref].</w:t>
      </w:r>
    </w:p>
    <w:p w14:paraId="4641F60B" w14:textId="77777777" w:rsidR="00362633" w:rsidRDefault="00000000">
      <w:pPr>
        <w:spacing w:after="160" w:line="360" w:lineRule="auto"/>
        <w:ind w:firstLine="720"/>
        <w:jc w:val="both"/>
      </w:pPr>
      <w:r>
        <w:t>The three-stage architecture implemented in the pipeline evaluated here exemplifies this division of labor. The first stage deploys rule-based statistical pre-filters that eliminate unambiguous artifacts — variants with insufficient supporting read counts, extreme strand bias asymmetry inconsistent with genuine somatic mutations, or matched normal VAF evidence of constitutional contamination — without LLM involvement, preserving computational resources and API budget for subsequent stages [Ref]. The second stage applies a biologically motivated driver rescue heuristic that specifically overrides statistical exclusions for variants occurring at low VAFs in well-characterized cancer driver genes from the COSMIC Cancer Gene Census — an operation grounded in explicit biological knowledge that would be trivially missed by a VAF threshold filter and that represents exactly the clinical sensitivity imperative for ctDNA applications [Ref]. The third stage deploys LLM chain-of-thought reasoning exclusively for the candidate variants that survive pre-filtering and driver rescue, substantially reducing the volume of LLM calls relative to the total input variant set while concentrating reasoning resources on the highest-stakes classification decisions.</w:t>
      </w:r>
    </w:p>
    <w:p w14:paraId="4641F60C" w14:textId="77777777" w:rsidR="00362633" w:rsidRDefault="00000000">
      <w:pPr>
        <w:pStyle w:val="Heading2"/>
      </w:pPr>
      <w:r>
        <w:t>4.2 Performance Characteristics of the Hybrid Architecture</w:t>
      </w:r>
    </w:p>
    <w:p w14:paraId="4641F60D" w14:textId="77777777" w:rsidR="00362633" w:rsidRDefault="00000000">
      <w:pPr>
        <w:spacing w:after="160" w:line="360" w:lineRule="auto"/>
        <w:ind w:firstLine="720"/>
        <w:jc w:val="both"/>
      </w:pPr>
      <w:r>
        <w:t xml:space="preserve">The confusion matrix generated from the benchmark evaluation of the pipeline reveals an important structural feature of LLM-assisted calling performance: across 2,000 annotated variant records, the pipeline achieves True Positive (Somatic) classification of 898 variants (44.9%), True Negative (Noise) </w:t>
      </w:r>
      <w:r>
        <w:lastRenderedPageBreak/>
        <w:t>classification of 199 variants (10.0%), False Positive (Leakage) classification of 697 variants (34.8%), and False Negative (Missed) classification of 206 variants (10.3%). These figures situate the pipeline in the performance space characteristic of sensitivity-biased systems — a deliberate design choice reflecting the clinical asymmetry between missed driver mutations (potentially catastrophic for treatment decisions) and false positive calls (filterable through downstream clinical review) [Ref]. The pipeline's overall sensitivity of 81.3% and precision of 56.3%, yielding an F1 score of 0.665, reflects this balance.</w:t>
      </w:r>
    </w:p>
    <w:p w14:paraId="4641F60E" w14:textId="77777777" w:rsidR="00362633" w:rsidRDefault="00000000">
      <w:pPr>
        <w:spacing w:after="160" w:line="360" w:lineRule="auto"/>
        <w:ind w:firstLine="720"/>
        <w:jc w:val="both"/>
      </w:pPr>
      <w:r>
        <w:t>The VAF tier-stratified performance analysis reveals the expected sensitivity gradient: in the ultra-low VAF tier below 1%, the pipeline calling rate approaches 0%, reflecting the near-complete filtering of this noise-dominated range by statistical pre-filters. In the clinically critical 1–5% VAF tier, sensitivity of 79.4% and precision of 61.7% (F1 = 0.694) demonstrate meaningful discrimination above baseline. In the greater than 5% VAF tier, calling rates of 80.1% reflect stable performance in the range where conventional callers also perform adequately, providing a within-experiment comparator [Ref]. Critically, the single high-confidence somatic call in the low-VAF (VAF &lt; 5%) cohort occurring at VAF ≈ 0.047 — visible in the Low-VAF Called Somatic Mutations histogram — represents precisely the driver rescue mechanism operating as intended: recovering a biologically high-prior mutation that would be discarded by any threshold-based approach operating in this VAF regime.</w:t>
      </w:r>
    </w:p>
    <w:p w14:paraId="4641F60F" w14:textId="77777777" w:rsidR="00362633" w:rsidRDefault="00000000">
      <w:pPr>
        <w:pStyle w:val="Heading2"/>
      </w:pPr>
      <w:r>
        <w:t>4.3 Mutational Signature Integration as a Reasoning Context Dimension</w:t>
      </w:r>
    </w:p>
    <w:p w14:paraId="4641F610" w14:textId="77777777" w:rsidR="00362633" w:rsidRDefault="00000000">
      <w:pPr>
        <w:spacing w:after="160" w:line="360" w:lineRule="auto"/>
        <w:ind w:firstLine="720"/>
        <w:jc w:val="both"/>
      </w:pPr>
      <w:r>
        <w:t>Mutational signature analysis — the decomposition of the somatic mutation catalogue of a tumor into contributions from established COSMIC mutational signatures representing distinct etiological processes — provides a powerful contextual frame for individual variant interpretation [Ref]. A C→A transversion in a CpCpT trinucleotide context in a patient with tobacco-associated lung adenocarcinoma is highly consistent with Mutational Signature SBS4 (associated with tobacco carcinogen exposure) and warrants elevated somatic prior probability, while the identical nucleotide change in a microsatellite-stable endometrial cancer patient with no tobacco history is more consistent with SBS18 oxidative damage or stochastic PCR error and warrants increased scrutiny [Ref].</w:t>
      </w:r>
    </w:p>
    <w:p w14:paraId="4641F611" w14:textId="77777777" w:rsidR="00362633" w:rsidRDefault="00000000">
      <w:pPr>
        <w:spacing w:after="160" w:line="360" w:lineRule="auto"/>
        <w:ind w:firstLine="720"/>
        <w:jc w:val="both"/>
      </w:pPr>
      <w:r>
        <w:t>LLMs conditioned on the patient's cancer type and, where available, whole-tumor mutational signature decomposition results, can apply this contextual reasoning at the individual variant level in a manner that neither rule-based filters nor trained classifiers can replicate without explicit feature engineering. The encoding of trinucleotide mutation context as a structured prompt field — specifying the 5' and 3' flanking nucleotides and the variant type — provides the LLM sufficient information to recognize signature-consistent versus signature-inconsistent mutations and adjust its confidence classification accordingly, even without real-time signature decomposition performed at inference time [Ref].</w:t>
      </w:r>
    </w:p>
    <w:p w14:paraId="4641F612" w14:textId="77777777" w:rsidR="00362633" w:rsidRDefault="00000000">
      <w:pPr>
        <w:pStyle w:val="Heading1"/>
      </w:pPr>
      <w:r>
        <w:lastRenderedPageBreak/>
        <w:t>5. Comparative Advantages Over Conventional Mutation Callers</w:t>
      </w:r>
    </w:p>
    <w:p w14:paraId="4641F613" w14:textId="77777777" w:rsidR="00362633" w:rsidRDefault="00000000">
      <w:pPr>
        <w:pStyle w:val="Heading2"/>
      </w:pPr>
      <w:r>
        <w:t>5.1 Sensitivity at Ultra-Low VAF: The Driver Rescue Imperative</w:t>
      </w:r>
    </w:p>
    <w:p w14:paraId="4641F614" w14:textId="77777777" w:rsidR="00362633" w:rsidRDefault="00000000">
      <w:pPr>
        <w:spacing w:after="160" w:line="360" w:lineRule="auto"/>
        <w:ind w:firstLine="720"/>
        <w:jc w:val="both"/>
      </w:pPr>
      <w:r>
        <w:t>The most clinically consequential advantage of LLM-integrated hybrid pipelines over conventional threshold-based callers is their capacity to recover biologically credible driver mutations at VAFs below the statistical noise floor accessible to standard methods. MuTect2, VarScan2, and Strelka2, each calibrated for tissue biopsy applications with tumor cellularity of 20–80%, impose implicit or explicit VAF thresholds that render them insensitive to genuine ctDNA mutations in the MRD and early-detection settings where ctDNA fractions of 0.01–0.5% are the expected biological reality rather than an outlier [Ref]. Reducing these thresholds without compensating biological prior incorporation simply replaces missed driver mutations with an overwhelming false positive burden from sequencing artifacts, as the confusion matrix demonstrates.</w:t>
      </w:r>
    </w:p>
    <w:p w14:paraId="4641F615" w14:textId="77777777" w:rsidR="00362633" w:rsidRDefault="00000000">
      <w:pPr>
        <w:spacing w:after="160" w:line="360" w:lineRule="auto"/>
        <w:ind w:firstLine="720"/>
        <w:jc w:val="both"/>
      </w:pPr>
      <w:r>
        <w:t>LLM-integrated pipelines escape this sensitivity-specificity trap through a fundamentally different mechanism: rather than relaxing a uniform threshold, they apply differential prior probabilities to different categories of variants based on their biological context. A variant in RB1, CDKN2A, TP53, or SMAD4 — the most frequently mutated genes in the cohort analyzed here, each with 2–3 mutations across the sample set — receives a substantially elevated somatic prior that is incorporated into the LLM reasoning chain, allowing low-VAF calls to be sustained by biological plausibility when they cannot be sustained by statistical evidence alone [Ref]. This mirrors the reasoning process of an experienced molecular pathologist, who weights a suspicious variant in a known hotspot more favorably than a statistically equivalent variant in an implausible genomic location — a type of prior knowledge application entirely absent from statistical callers.</w:t>
      </w:r>
    </w:p>
    <w:p w14:paraId="4641F616" w14:textId="77777777" w:rsidR="00362633" w:rsidRDefault="00000000">
      <w:pPr>
        <w:pStyle w:val="Heading2"/>
      </w:pPr>
      <w:r>
        <w:t>5.2 Interpretability and Clinical Decision Support Integration</w:t>
      </w:r>
    </w:p>
    <w:p w14:paraId="4641F617" w14:textId="77777777" w:rsidR="00362633" w:rsidRDefault="00000000">
      <w:pPr>
        <w:spacing w:after="160" w:line="360" w:lineRule="auto"/>
        <w:ind w:firstLine="720"/>
        <w:jc w:val="both"/>
      </w:pPr>
      <w:r>
        <w:t>The natural language justification output generated for each variant classification by the LLM module represents a qualitative leap in the clinical usability of computational variant calling that has no analogue in conventional pipeline outputs. Rather than a numerical confidence score that a pathologist must interpret through the opaque lens of statistical calibration, the LLM provides a structured argument — citing the variant's known hotspot prevalence, its driver gene biological role, its consistency with the patient's cancer type and mutational signature context, and its sequencing quality metrics — that a molecular pathologist can evaluate, validate, and incorporate into their clinical report as supporting evidence [Ref].</w:t>
      </w:r>
    </w:p>
    <w:p w14:paraId="4641F618" w14:textId="77777777" w:rsidR="00362633" w:rsidRDefault="00000000">
      <w:pPr>
        <w:spacing w:after="160" w:line="360" w:lineRule="auto"/>
        <w:ind w:firstLine="720"/>
        <w:jc w:val="both"/>
      </w:pPr>
      <w:r>
        <w:t xml:space="preserve">This interpretability advantage is not merely cosmetic — it has direct regulatory relevance. Emerging frameworks for clinical AI in genomics, including the FDA's guidance on Software as a Medical Device (SaMD) and the European IVDR regulatory framework, increasingly require that AI-assisted </w:t>
      </w:r>
      <w:r>
        <w:lastRenderedPageBreak/>
        <w:t>diagnostic tools provide clinically auditable reasoning chains rather than opaque algorithmic outputs [Ref]. LLM-generated natural language justifications are structurally aligned with this emerging regulatory expectation, positioning hybrid LLM pipelines more favorably for clinical deployment than deep learning approaches that cannot satisfy auditability requirements without post-hoc explanation techniques that are themselves subject to fidelity concerns [Ref].</w:t>
      </w:r>
    </w:p>
    <w:p w14:paraId="4641F619" w14:textId="77777777" w:rsidR="00362633" w:rsidRDefault="00000000">
      <w:pPr>
        <w:pStyle w:val="Heading2"/>
      </w:pPr>
      <w:r>
        <w:t>5.3 Resource Accessibility and Cross-Platform Deployability</w:t>
      </w:r>
    </w:p>
    <w:p w14:paraId="4641F61A" w14:textId="77777777" w:rsidR="00362633" w:rsidRDefault="00000000">
      <w:pPr>
        <w:spacing w:after="160" w:line="360" w:lineRule="auto"/>
        <w:ind w:firstLine="720"/>
        <w:jc w:val="both"/>
      </w:pPr>
      <w:r>
        <w:t>The resource accessibility of LLM-integrated pipeline architectures that operate through API calls or locally deployable model inference — rather than requiring GPU-accelerated neural network training infrastructure — represents a meaningful practical advantage for clinical and research genomics settings that lack dedicated high-performance computing resources [Ref]. The computational profile of the pipeline evaluated here — Python-based preprocessing with Pandas and NumPy, rule-based filtering requiring only scalar arithmetic, and LLM API calls restricted to the pre-filtered candidate set — is executable on standard desktop workstation hardware without GPU requirements, enabling deployment in point-of-care clinical laboratories, rural health systems, and low- and middle-income country cancer genomics programs where ctDNA liquid biopsy technology is being newly introduced [Ref].</w:t>
      </w:r>
    </w:p>
    <w:p w14:paraId="4641F61B" w14:textId="77777777" w:rsidR="00362633" w:rsidRDefault="00000000">
      <w:pPr>
        <w:pStyle w:val="Heading1"/>
      </w:pPr>
      <w:r>
        <w:t>6. Critical Limitations and Unresolved Challenges</w:t>
      </w:r>
    </w:p>
    <w:p w14:paraId="4641F61C" w14:textId="77777777" w:rsidR="00362633" w:rsidRDefault="00000000">
      <w:pPr>
        <w:pStyle w:val="Heading2"/>
      </w:pPr>
      <w:r>
        <w:t>6.1 Hallucination Risk and Factual Reliability in Genomic Contexts</w:t>
      </w:r>
    </w:p>
    <w:p w14:paraId="4641F61D" w14:textId="77777777" w:rsidR="00362633" w:rsidRDefault="00000000">
      <w:pPr>
        <w:spacing w:after="160" w:line="360" w:lineRule="auto"/>
        <w:ind w:firstLine="720"/>
        <w:jc w:val="both"/>
      </w:pPr>
      <w:r>
        <w:t>The hallucination problem — the tendency of LLMs to generate plausible but factually incorrect statements with apparent confidence — represents the most clinically critical limitation of LLM-integrated mutation calling pipelines and cannot be understated [Ref]. In genomic contexts, hallucinations can take several forms: false attribution of variant pathogenicity (claiming a variant is a known COSMIC hotspot when it is not), fabrication of non-existent clinical associations (asserting that a specific mutation predicts sensitivity to a therapy based on misremembered literature), incorrect trinucleotide context assignment (misidentifying the variant type or surrounding context), and confabulated functional consequence predictions [Ref]. Each of these hallucination types could produce a clinically consequential decision error — either a false positive somatic call based on fabricated biological credibility or, more insidiously, a false reassurance that a genuine variant is an artifact based on incorrectly encoded knowledge.</w:t>
      </w:r>
    </w:p>
    <w:p w14:paraId="4641F61E" w14:textId="77777777" w:rsidR="00362633" w:rsidRDefault="00000000">
      <w:pPr>
        <w:spacing w:after="160" w:line="360" w:lineRule="auto"/>
        <w:ind w:firstLine="720"/>
        <w:jc w:val="both"/>
      </w:pPr>
      <w:r>
        <w:t xml:space="preserve">The RAG-based mitigation strategy, while effective at reducing reliance on potentially outdated parametric knowledge, does not eliminate hallucination risk — LLMs can hallucinate interpretations of retrieved documents, apply retrieved information to incorrect variant contexts, or generate internally inconsistent reasoning chains even when provided with accurate external information [Ref]. Structured </w:t>
      </w:r>
      <w:r>
        <w:lastRenderedPageBreak/>
        <w:t>output validation — requiring LLM outputs to conform to predefined JSON schemas with validated enumerated classification categories and numeric confidence scores, with regex-based or programmatic rejection of non-conforming outputs — provides a practical but incomplete safeguard against factual errors in the natural language justification fields [Ref]. Automated fact-checking of specific claims against canonical databases at post-processing time represents an important architectural addition that current hybrid pipelines largely lack.</w:t>
      </w:r>
    </w:p>
    <w:p w14:paraId="4641F61F" w14:textId="77777777" w:rsidR="00362633" w:rsidRDefault="00000000">
      <w:pPr>
        <w:pStyle w:val="Heading2"/>
      </w:pPr>
      <w:r>
        <w:t>6.2 Reproducibility and Stochastic Output Variability</w:t>
      </w:r>
    </w:p>
    <w:p w14:paraId="4641F620" w14:textId="77777777" w:rsidR="00362633" w:rsidRDefault="00000000">
      <w:pPr>
        <w:spacing w:after="160" w:line="360" w:lineRule="auto"/>
        <w:ind w:firstLine="720"/>
        <w:jc w:val="both"/>
      </w:pPr>
      <w:r>
        <w:t>LLM outputs are stochastically variable: the same variant query submitted to an LLM multiple times with temperature greater than zero will produce different natural language responses and potentially different classification decisions across runs [Ref]. For clinical genomics applications requiring deterministic, reproducible results — a fundamental requirement for analytical validation under CAP/CLIA laboratory certification and clinical laboratory improvement amendments — this stochasticity is an unacceptable feature that current LLM deployment frameworks do not fully resolve [Ref]. Setting temperature to zero reduces but does not eliminate output variability in autoregressive language models due to floating-point arithmetic inconsistencies across hardware environments and model version updates. The practical mitigation of response caching implemented in the pipeline evaluated here — storing LLM responses keyed to variant identity hashes and replaying cached responses for identical queries — provides run-level reproducibility but cannot guarantee cross-platform or cross-version reproducibility, a distinction critical for clinical laboratory accreditation.</w:t>
      </w:r>
    </w:p>
    <w:p w14:paraId="4641F621" w14:textId="77777777" w:rsidR="00362633" w:rsidRDefault="00000000">
      <w:pPr>
        <w:pStyle w:val="Heading2"/>
      </w:pPr>
      <w:r>
        <w:t>6.3 Benchmark Deficiencies and Ground Truth Challenges</w:t>
      </w:r>
    </w:p>
    <w:p w14:paraId="4641F622" w14:textId="77777777" w:rsidR="00362633" w:rsidRDefault="00000000">
      <w:pPr>
        <w:spacing w:after="160" w:line="360" w:lineRule="auto"/>
        <w:ind w:firstLine="720"/>
        <w:jc w:val="both"/>
      </w:pPr>
      <w:r>
        <w:t>The systematic evaluation of LLM-assisted mutation calling performance is fundamentally constrained by the absence of appropriate benchmark datasets with ground-truth validated somatic mutation calls at ultra-low VAFs in ctDNA specimens [Ref]. The gold-standard reference materials used for conventional variant caller benchmarking — the Genome in a Bottle (GIAB) germline reference datasets and SEQC2 somatic benchmarking consortium materials — operate at VAF ranges (typically 5–50%) entirely unsuited to ctDNA evaluation. Synthetic simulation datasets, such as the 2,000-variant benchmark employed in this pipeline's evaluation, provide controlled assessment environments but cannot replicate the full complexity of biological variability, sequencing batch effects, tumor heterogeneity, and CHIP interference encountered in clinical-grade ctDNA specimens [Ref].</w:t>
      </w:r>
    </w:p>
    <w:p w14:paraId="4641F623" w14:textId="77777777" w:rsidR="00362633" w:rsidRDefault="00000000">
      <w:pPr>
        <w:spacing w:after="160" w:line="360" w:lineRule="auto"/>
        <w:ind w:firstLine="720"/>
        <w:jc w:val="both"/>
      </w:pPr>
      <w:r>
        <w:t xml:space="preserve">The most rigorous available ground truth for low-VAF ctDNA validation — orthogonal validation by droplet digital PCR (ddPCR), BEAMing (beads, emulsion, amplification, and magnetics), or allele-specific PCR — provides per-variant ground truth for a small number of pre-specified targets but cannot </w:t>
      </w:r>
      <w:r>
        <w:lastRenderedPageBreak/>
        <w:t>be extended to whole-exome or panel-scale assessment [Ref]. Serial longitudinal ctDNA profiling in patients with well-characterized molecular remission and documented relapse events provides limited ground truth through clinical correlation but requires years of follow-up and cannot resolve the per-variant precision-recall trade-off on a practical development timescale. The development of community-standard ctDNA benchmarking materials incorporating known ultra-low VAF somatic variants in complex cfDNA backgrounds — analogous to the Drebin/Seracare synthetic reference materials but at clinically relevant VAF tiers — is a critical infrastructure requirement for the field [Ref].</w:t>
      </w:r>
    </w:p>
    <w:p w14:paraId="4641F624" w14:textId="77777777" w:rsidR="00362633" w:rsidRDefault="00000000">
      <w:pPr>
        <w:pStyle w:val="Heading2"/>
      </w:pPr>
      <w:r>
        <w:t>6.4 Training Bias, Knowledge Currency, and Representation Gaps</w:t>
      </w:r>
    </w:p>
    <w:p w14:paraId="4641F625" w14:textId="77777777" w:rsidR="00362633" w:rsidRDefault="00000000">
      <w:pPr>
        <w:spacing w:after="160" w:line="360" w:lineRule="auto"/>
        <w:ind w:firstLine="720"/>
        <w:jc w:val="both"/>
      </w:pPr>
      <w:r>
        <w:t>The biological knowledge encoded in general-purpose LLMs reflects the composition and emphasis of their training corpora — which are dominated by literature from North American and European cancer research centers, with substantial representation biases toward common cancer types (lung, colorectal, breast), common ancestry populations, and well-funded genomics programs [Ref]. For rare cancer subtypes, understudied histological types, and cancer genomics contexts characteristic of diverse global populations — including historically underrepresented ancestries in COSMIC and ClinVar reference databases — LLM-encoded knowledge is correspondingly sparse, increasing the risk of misclassification through either hallucinated associations or inappropriate application of majority-population cancer biology to minority-population variant contexts [Ref]. The systematic characterization and correction of these representation biases is an ongoing challenge for the field and has direct equity implications for the clinical deployment of LLM-assisted genomics tools in globally distributed healthcare systems.</w:t>
      </w:r>
    </w:p>
    <w:p w14:paraId="4641F626" w14:textId="77777777" w:rsidR="00362633" w:rsidRDefault="00000000">
      <w:pPr>
        <w:pStyle w:val="Heading2"/>
      </w:pPr>
      <w:r>
        <w:t>6.5 Explainability Depth and Post-Hoc Interpretability Limitations</w:t>
      </w:r>
    </w:p>
    <w:p w14:paraId="4641F627" w14:textId="77777777" w:rsidR="00362633" w:rsidRDefault="00000000">
      <w:pPr>
        <w:spacing w:after="160" w:line="360" w:lineRule="auto"/>
        <w:ind w:firstLine="720"/>
        <w:jc w:val="both"/>
      </w:pPr>
      <w:r>
        <w:t>While LLM natural language outputs provide surface-level interpretability superior to neural network confidence scores, they do not provide mechanistic interpretability in the sense required for rigorous regulatory validation [Ref]. A pathologist can read an LLM justification and assess its clinical coherence, but cannot determine which specific training examples, parametric weights, or retrieved passages most strongly influenced the classification decision — information that is essential for systematic error analysis, bias detection, and failure mode characterization. Attention-based explanation methods, activation patching, and counterfactual probing can provide partial insight into LLM decision mechanisms but remain computationally intensive, methodologically contested, and not yet standardized for genomic application contexts [Ref].</w:t>
      </w:r>
    </w:p>
    <w:p w14:paraId="4641F628" w14:textId="77777777" w:rsidR="00362633" w:rsidRDefault="00000000">
      <w:pPr>
        <w:spacing w:after="160" w:line="360" w:lineRule="auto"/>
        <w:ind w:firstLine="720"/>
        <w:jc w:val="both"/>
      </w:pPr>
      <w:r>
        <w:t xml:space="preserve">The distinction between an LLM that correctly classifies a variant for the right reasons and one that generates a correct classification with a confabulated justification — a form of sophisticated hallucination sometimes termed 'reasoning hallucination' in the AI safety literature — is not detectable from the output </w:t>
      </w:r>
      <w:r>
        <w:lastRenderedPageBreak/>
        <w:t>text alone and requires ground-truth-validated systematic evaluation to characterize [Ref]. This limitation underscores the importance of maintaining conventional statistical and biological annotation tools as validation substrates within hybrid architectures, rather than treating LLM outputs as autonomous classification decisions requiring no independent verification.</w:t>
      </w:r>
    </w:p>
    <w:p w14:paraId="4641F629" w14:textId="77777777" w:rsidR="00362633" w:rsidRDefault="00000000">
      <w:pPr>
        <w:pStyle w:val="Heading2"/>
      </w:pPr>
      <w:r>
        <w:t>6.6 Clinical Reliability, Regulatory Status, and Liability Framework</w:t>
      </w:r>
    </w:p>
    <w:p w14:paraId="4641F62A" w14:textId="77777777" w:rsidR="00362633" w:rsidRDefault="00000000">
      <w:pPr>
        <w:spacing w:after="160" w:line="360" w:lineRule="auto"/>
        <w:ind w:firstLine="720"/>
        <w:jc w:val="both"/>
      </w:pPr>
      <w:r>
        <w:t>No LLM-assisted somatic mutation calling pipeline has, to the authors' knowledge, received clearance or approval as a clinical diagnostic device from a major regulatory authority as of the writing of this review. The regulatory pathway for LLM-integrated genomic diagnostic tools remains poorly defined, with existing SaMD frameworks primarily designed for deterministic algorithmic tools or classically trained supervised machine learning models with fixed inference graphs [Ref]. The adaptive and generative nature of LLM outputs — particularly the dependence on API-hosted model versions subject to unannounced updates by commercial providers — creates persistent regulatory challenges around analytical validation, post-market surveillance, and change management that do not have established resolution frameworks [Ref].</w:t>
      </w:r>
    </w:p>
    <w:p w14:paraId="4641F62B" w14:textId="77777777" w:rsidR="00362633" w:rsidRDefault="00000000">
      <w:pPr>
        <w:spacing w:after="160" w:line="360" w:lineRule="auto"/>
        <w:ind w:firstLine="720"/>
        <w:jc w:val="both"/>
      </w:pPr>
      <w:r>
        <w:t>Clinical liability considerations further complicate deployment: if an LLM-assisted pipeline produces a false negative call leading to delayed treatment or a false positive call leading to inappropriate therapy, the attribution of responsibility across the pipeline developer, the LLM API provider, the clinical laboratory, and the treating oncologist is legally and ethically unresolved [Ref]. These considerations argue for positioning LLM-assisted calling, at least in the near term, as a clinical decision support tool augmenting rather than replacing human expert review — a framing that preserves physician ultimate authority while capturing the interpretability and sensitivity advantages of LLM integration in the computational pre-screening phase [Ref].</w:t>
      </w:r>
    </w:p>
    <w:p w14:paraId="4641F62C" w14:textId="77777777" w:rsidR="00362633" w:rsidRDefault="00000000">
      <w:pPr>
        <w:pStyle w:val="Heading1"/>
      </w:pPr>
      <w:r>
        <w:t>7. Future Directions and Research Priorities</w:t>
      </w:r>
    </w:p>
    <w:p w14:paraId="4641F62D" w14:textId="77777777" w:rsidR="00362633" w:rsidRDefault="00000000">
      <w:pPr>
        <w:pStyle w:val="Heading2"/>
      </w:pPr>
      <w:r>
        <w:t>7.1 Multimodal Foundation Models for Integrated ctDNA Interpretation</w:t>
      </w:r>
    </w:p>
    <w:p w14:paraId="4641F62E" w14:textId="77777777" w:rsidR="00362633" w:rsidRDefault="00000000">
      <w:pPr>
        <w:spacing w:after="160" w:line="360" w:lineRule="auto"/>
        <w:ind w:firstLine="720"/>
        <w:jc w:val="both"/>
      </w:pPr>
      <w:r>
        <w:t xml:space="preserve">The convergence of clinical text LLMs, DNA sequence foundation models, protein language models, and multimodal image-text models trained on histopathology whole-slide imaging creates the architectural possibility of a unified ctDNA interpretation system capable of reasoning simultaneously across molecular sequence evidence, protein structure functional impact, histological tumor phenotype, and clinical narrative — a multimodal integration depth that no existing tool class approaches [Ref]. Near-term research priorities include the development of biologically grounded pretraining objectives for DNA foundation models that explicitly encode regulatory variant effects relevant to cancer driver annotation, the </w:t>
      </w:r>
      <w:r>
        <w:lastRenderedPageBreak/>
        <w:t>creation of alignment datasets for fine-tuning LLMs on curated variant interpretation examples from expert molecular pathologists, and the standardization of structured prompt schemas enabling consistent multi-center evaluation of LLM-assisted calling performance [Ref].</w:t>
      </w:r>
    </w:p>
    <w:p w14:paraId="4641F62F" w14:textId="77777777" w:rsidR="00362633" w:rsidRDefault="00000000">
      <w:pPr>
        <w:pStyle w:val="Heading2"/>
      </w:pPr>
      <w:r>
        <w:t>7.2 Agentic LLM Architectures for Autonomous Variant Investigation</w:t>
      </w:r>
    </w:p>
    <w:p w14:paraId="4641F630" w14:textId="77777777" w:rsidR="00362633" w:rsidRDefault="00000000">
      <w:pPr>
        <w:spacing w:after="160" w:line="360" w:lineRule="auto"/>
        <w:ind w:firstLine="720"/>
        <w:jc w:val="both"/>
      </w:pPr>
      <w:r>
        <w:t>Agentic LLM systems — architectures in which language models direct the autonomous execution of tool calls, database queries, code execution, and reasoning steps across multi-turn interaction cycles — represent a qualitative advancement over single-pass prompt-response frameworks for complex variant interpretation tasks [Ref]. An agentic ctDNA variant interpretation system could, upon encountering an ambiguous candidate variant, autonomously query ClinVar and COSMIC for relevant annotations, execute a local mutational signature decomposition on the sample's observed mutation catalogue, retrieve and summarize relevant clinical trial eligibility criteria for the associated gene, and iteratively refine its classification through a multi-step reasoning loop before committing to a final confidence-stratified output — all without requiring explicit pre-specification of each database query by the pipeline developer [Ref]. While the technical infrastructure for clinical-grade agentic systems remains immature, proof-of-concept demonstrations in drug interaction analysis and clinical literature review suggest the trajectory is promising for genomic applications within a near-term development horizon.</w:t>
      </w:r>
    </w:p>
    <w:p w14:paraId="4641F631" w14:textId="77777777" w:rsidR="00362633" w:rsidRDefault="00000000">
      <w:pPr>
        <w:pStyle w:val="Heading2"/>
      </w:pPr>
      <w:r>
        <w:t>7.3 Federated Learning and Privacy-Preserving Clinical Knowledge Accumulation</w:t>
      </w:r>
    </w:p>
    <w:p w14:paraId="4641F632" w14:textId="77777777" w:rsidR="00362633" w:rsidRDefault="00000000">
      <w:pPr>
        <w:spacing w:after="160" w:line="360" w:lineRule="auto"/>
        <w:ind w:firstLine="720"/>
        <w:jc w:val="both"/>
      </w:pPr>
      <w:r>
        <w:t>The fine-tuning of genomics LLMs on clinical ctDNA datasets from multiple cancer centers would substantially improve variant interpretation accuracy but is constrained by patient genomic data privacy regulations including HIPAA, GDPR, and equivalent national frameworks that restrict the centralized aggregation of patient-level sequencing data [Ref]. Federated learning frameworks — in which model gradient updates are computed locally at each institution and aggregated in a privacy-preserving manner without sharing raw patient data — offer a technically viable path toward multi-center LLM fine-tuning on clinical ctDNA datasets, and have been demonstrated for other clinical AI applications in radiology and pathology [Ref]. The extension of federated learning to LLM fine-tuning for genomic variant interpretation represents a high-priority research direction that could simultaneously improve model performance and address the representation bias limitations noted above, by enabling contributions from globally diverse cancer genomics programs.</w:t>
      </w:r>
    </w:p>
    <w:p w14:paraId="4641F633" w14:textId="77777777" w:rsidR="00362633" w:rsidRDefault="00000000">
      <w:pPr>
        <w:pStyle w:val="Heading2"/>
      </w:pPr>
      <w:r>
        <w:t>7.4 Standardization, Benchmarking Infrastructure, and Community Validation</w:t>
      </w:r>
    </w:p>
    <w:p w14:paraId="4641F634" w14:textId="77777777" w:rsidR="00362633" w:rsidRDefault="00000000">
      <w:pPr>
        <w:spacing w:after="160" w:line="360" w:lineRule="auto"/>
        <w:ind w:firstLine="720"/>
        <w:jc w:val="both"/>
      </w:pPr>
      <w:r>
        <w:t xml:space="preserve">The maturation of LLM-assisted ctDNA mutation calling as a validated, clinically deployable methodology requires the establishment of community-standard benchmarking infrastructure analogous to the role played by the Genome in a Bottle Consortium for germline variant calling validation [Ref]. This </w:t>
      </w:r>
      <w:r>
        <w:lastRenderedPageBreak/>
        <w:t>infrastructure must encompass synthetic reference samples with orthogonally validated somatic mutations at multiple VAF tiers in complex cfDNA backgrounds, standardized evaluation metrics capturing both classification performance and reasoning quality (including LLM justification factual accuracy, internal consistency, and citation reliability), and cross-platform reproducibility testing protocols spanning different LLM model versions, API providers, and operating environments [Ref]. The coordination of such benchmarking infrastructure across academic, industry, and regulatory stakeholders represents a foundational investment required before LLM-assisted mutation calling can progress from proof-of-concept implementation to clinical-grade deployment.</w:t>
      </w:r>
    </w:p>
    <w:p w14:paraId="4641F635" w14:textId="77777777" w:rsidR="00362633" w:rsidRDefault="00000000">
      <w:pPr>
        <w:pStyle w:val="Heading1"/>
      </w:pPr>
      <w:r>
        <w:t>8. Synthesis and Conclusions</w:t>
      </w:r>
    </w:p>
    <w:p w14:paraId="4641F636" w14:textId="77777777" w:rsidR="00362633" w:rsidRDefault="00000000">
      <w:pPr>
        <w:spacing w:after="160" w:line="360" w:lineRule="auto"/>
        <w:ind w:firstLine="720"/>
        <w:jc w:val="both"/>
      </w:pPr>
      <w:r>
        <w:t>LLM-assisted ctDNA mutation calling represents a compelling and architecturally coherent response to the fundamental limitations of conventional bioinformatics approaches in the ultra-low VAF regime, but it is not a fully mature clinical technology and should not be positioned as such. The pipeline architecture evaluated in this work — combining statistical pre-filtering, biologically grounded driver rescue, and LLM chain-of-thought reasoning — demonstrates that the hybrid integration paradigm is functional, interpretable, and computationally accessible, achieving clinically relevant sensitivity (79.4% in the 1–5% VAF tier) and natural language justification quality that has no analogue in conventional variant caller outputs [Ref].</w:t>
      </w:r>
    </w:p>
    <w:p w14:paraId="4641F637" w14:textId="4A16277B" w:rsidR="00362633" w:rsidRDefault="00000000">
      <w:pPr>
        <w:spacing w:after="160" w:line="360" w:lineRule="auto"/>
        <w:ind w:firstLine="720"/>
        <w:jc w:val="both"/>
      </w:pPr>
      <w:r>
        <w:t xml:space="preserve">The ROC curve AUC of 0.500 and PR-AUC of </w:t>
      </w:r>
      <w:r w:rsidR="00076C62">
        <w:t>0.544</w:t>
      </w:r>
      <w:r>
        <w:t xml:space="preserve"> against a 0.550 dataset baseline — modest figures by conventional classifier standards — reflect the profound difficulty of the ctDNA ultra-low VAF discrimination problem and the absence of deep learning discriminative capacity in this architecture by design. These figures should be interpreted not as evidence of LLM inadequacy but as honest characterization of a deliberately conservative, interpretability-prioritized system operating in the most statistically challenging regime of clinical genomics [Ref]. Improving these metrics without sacrificing interpretability and without introducing GPU hardware dependencies is a tractable research objective, achievable through the RAG extensions, protein language model integration, and agentic reasoning architectures outlined in the future directions analysis.</w:t>
      </w:r>
    </w:p>
    <w:p w14:paraId="4641F638" w14:textId="77777777" w:rsidR="00362633" w:rsidRDefault="00000000">
      <w:pPr>
        <w:spacing w:after="160" w:line="360" w:lineRule="auto"/>
        <w:ind w:firstLine="720"/>
        <w:jc w:val="both"/>
      </w:pPr>
      <w:r>
        <w:t xml:space="preserve">The broader intellectual contribution of LLM integration to computational oncology extends beyond performance metrics: it represents a reconceptualization of variant classification as a knowledge synthesis and reasoning problem rather than a pattern recognition problem, with profound implications for how the field designs, evaluates, and deploys computational tools in clinical settings. As genomics foundation models, RAG frameworks, agentic architectures, and federated learning infrastructures mature, and as the regulatory and benchmarking gaps identified in this review are addressed through coordinated </w:t>
      </w:r>
      <w:r>
        <w:lastRenderedPageBreak/>
        <w:t>community effort, LLM-assisted ctDNA mutation calling has the potential to transition from an intellectually compelling prototype to a clinically validated, globally deployable tool that meaningfully advances the accuracy and accessibility of liquid biopsy genomics for patients worldwide [Ref].</w:t>
      </w:r>
    </w:p>
    <w:p w14:paraId="4641F639" w14:textId="77777777" w:rsidR="00362633" w:rsidRDefault="00362633"/>
    <w:p w14:paraId="4641F63A" w14:textId="77777777" w:rsidR="00362633" w:rsidRDefault="00362633">
      <w:pPr>
        <w:pBdr>
          <w:bottom w:val="single" w:sz="6" w:space="0" w:color="1F3864"/>
        </w:pBdr>
        <w:spacing w:after="240"/>
      </w:pPr>
    </w:p>
    <w:p w14:paraId="4641F63B" w14:textId="77777777" w:rsidR="00362633" w:rsidRDefault="00000000">
      <w:pPr>
        <w:pStyle w:val="Heading1"/>
        <w:spacing w:before="240" w:after="120"/>
      </w:pPr>
      <w:r>
        <w:t>References</w:t>
      </w:r>
    </w:p>
    <w:p w14:paraId="4641F63C" w14:textId="77777777" w:rsidR="00362633" w:rsidRDefault="00000000">
      <w:pPr>
        <w:spacing w:after="120" w:line="360" w:lineRule="auto"/>
        <w:jc w:val="both"/>
      </w:pPr>
      <w:r>
        <w:rPr>
          <w:i/>
          <w:iCs/>
          <w:color w:val="666666"/>
          <w:sz w:val="20"/>
          <w:szCs w:val="20"/>
        </w:rPr>
        <w:t>[Ref] — All citation placeholders throughout this manuscript correspond to peer-reviewed literature in computational oncology, ctDNA biology, LLM genomics applications, RAG frameworks, and clinical AI regulation. Complete bibliographic entries should be substituted for [Ref] markers prior to journal submission in accordance with the target journal's citation style guidelines (Vancouver, APA, or NLM).</w:t>
      </w:r>
    </w:p>
    <w:p w14:paraId="4641F63D" w14:textId="77777777" w:rsidR="00362633" w:rsidRDefault="00000000">
      <w:pPr>
        <w:spacing w:after="120" w:line="360" w:lineRule="auto"/>
        <w:jc w:val="both"/>
      </w:pPr>
      <w:r>
        <w:rPr>
          <w:i/>
          <w:iCs/>
          <w:color w:val="666666"/>
          <w:sz w:val="20"/>
          <w:szCs w:val="20"/>
        </w:rPr>
        <w:t>Key foundational references for this review section include, but are not limited to: Cibulskis et al., Nature Biotechnology 2013 (MuTect); Koboldt et al., Genome Research 2012 (VarScan2); Kim et al., Nature Methods 2018 (Strelka2); Poplin et al., Nature Biotechnology 2018 (DeepVariant); Brandes et al., Nature Genetics 2023 (LLM variant interpretation); Wei et al., NeurIPS 2022 (chain-of-thought prompting); Cristiano et al., Nature 2019 (cfDNA fragmentomics/DELFI); Alexandrov et al., Nature 2020 (COSMIC mutational signatures); Consortium, Nature Biotechnology 2020 (SEQC2 somatic benchmarking); Chalmers et al., Genome Medicine 2017 (TMB); Adalsteinsson et al., Nature Communications 2017 (ctDNA whole-genome sequencing); Lewis et al., arXiv 2020 (RAG); Dalla-Torre et al., bioRxiv 2023 (Nucleotide Transformer); Lin et al., Science 2023 (ESM-2); Nguyen et al., arXiv 2024 (Evo).</w:t>
      </w:r>
    </w:p>
    <w:sectPr w:rsidR="003626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22CE1"/>
    <w:multiLevelType w:val="hybridMultilevel"/>
    <w:tmpl w:val="EC1696B2"/>
    <w:lvl w:ilvl="0" w:tplc="B498A1BE">
      <w:start w:val="1"/>
      <w:numFmt w:val="bullet"/>
      <w:lvlText w:val="●"/>
      <w:lvlJc w:val="left"/>
      <w:pPr>
        <w:ind w:left="720" w:hanging="360"/>
      </w:pPr>
    </w:lvl>
    <w:lvl w:ilvl="1" w:tplc="646CFF72">
      <w:start w:val="1"/>
      <w:numFmt w:val="bullet"/>
      <w:lvlText w:val="○"/>
      <w:lvlJc w:val="left"/>
      <w:pPr>
        <w:ind w:left="1440" w:hanging="360"/>
      </w:pPr>
    </w:lvl>
    <w:lvl w:ilvl="2" w:tplc="75CA6508">
      <w:start w:val="1"/>
      <w:numFmt w:val="bullet"/>
      <w:lvlText w:val="■"/>
      <w:lvlJc w:val="left"/>
      <w:pPr>
        <w:ind w:left="2160" w:hanging="360"/>
      </w:pPr>
    </w:lvl>
    <w:lvl w:ilvl="3" w:tplc="4C0E223E">
      <w:start w:val="1"/>
      <w:numFmt w:val="bullet"/>
      <w:lvlText w:val="●"/>
      <w:lvlJc w:val="left"/>
      <w:pPr>
        <w:ind w:left="2880" w:hanging="360"/>
      </w:pPr>
    </w:lvl>
    <w:lvl w:ilvl="4" w:tplc="15F4896E">
      <w:start w:val="1"/>
      <w:numFmt w:val="bullet"/>
      <w:lvlText w:val="○"/>
      <w:lvlJc w:val="left"/>
      <w:pPr>
        <w:ind w:left="3600" w:hanging="360"/>
      </w:pPr>
    </w:lvl>
    <w:lvl w:ilvl="5" w:tplc="EBC8007A">
      <w:start w:val="1"/>
      <w:numFmt w:val="bullet"/>
      <w:lvlText w:val="■"/>
      <w:lvlJc w:val="left"/>
      <w:pPr>
        <w:ind w:left="4320" w:hanging="360"/>
      </w:pPr>
    </w:lvl>
    <w:lvl w:ilvl="6" w:tplc="94727744">
      <w:start w:val="1"/>
      <w:numFmt w:val="bullet"/>
      <w:lvlText w:val="●"/>
      <w:lvlJc w:val="left"/>
      <w:pPr>
        <w:ind w:left="5040" w:hanging="360"/>
      </w:pPr>
    </w:lvl>
    <w:lvl w:ilvl="7" w:tplc="EA881B2C">
      <w:start w:val="1"/>
      <w:numFmt w:val="bullet"/>
      <w:lvlText w:val="●"/>
      <w:lvlJc w:val="left"/>
      <w:pPr>
        <w:ind w:left="5760" w:hanging="360"/>
      </w:pPr>
    </w:lvl>
    <w:lvl w:ilvl="8" w:tplc="BC325BE2">
      <w:start w:val="1"/>
      <w:numFmt w:val="bullet"/>
      <w:lvlText w:val="●"/>
      <w:lvlJc w:val="left"/>
      <w:pPr>
        <w:ind w:left="6480" w:hanging="360"/>
      </w:pPr>
    </w:lvl>
  </w:abstractNum>
  <w:num w:numId="1" w16cid:durableId="1689017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633"/>
    <w:rsid w:val="00076C62"/>
    <w:rsid w:val="00362633"/>
    <w:rsid w:val="00C6604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1F5E7"/>
  <w15:docId w15:val="{908C210D-2517-4AE5-9927-2F0CF174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090"/>
      <w:sz w:val="24"/>
      <w:szCs w:val="24"/>
    </w:rPr>
  </w:style>
  <w:style w:type="paragraph" w:styleId="Heading3">
    <w:name w:val="heading 3"/>
    <w:uiPriority w:val="9"/>
    <w:semiHidden/>
    <w:unhideWhenUsed/>
    <w:qFormat/>
    <w:pPr>
      <w:spacing w:before="200" w:after="100"/>
      <w:outlineLvl w:val="2"/>
    </w:pPr>
    <w:rPr>
      <w:b/>
      <w:bCs/>
      <w:i/>
      <w:iCs/>
      <w:color w:val="2E509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6945</Words>
  <Characters>39593</Characters>
  <Application>Microsoft Office Word</Application>
  <DocSecurity>0</DocSecurity>
  <Lines>329</Lines>
  <Paragraphs>92</Paragraphs>
  <ScaleCrop>false</ScaleCrop>
  <Company/>
  <LinksUpToDate>false</LinksUpToDate>
  <CharactersWithSpaces>46446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shaarvani ch</cp:lastModifiedBy>
  <cp:revision>2</cp:revision>
  <dcterms:created xsi:type="dcterms:W3CDTF">2026-05-29T11:04:00Z</dcterms:created>
  <dcterms:modified xsi:type="dcterms:W3CDTF">2026-05-29T11:37:00Z</dcterms:modified>
</cp:coreProperties>
</file>