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ShaBaas Pay Security Implementation Plan</w:t>
      </w:r>
    </w:p>
    <w:p>
      <w:r>
        <w:rPr>
          <w:b/>
          <w:color w:val="123C66"/>
          <w:sz w:val="26"/>
        </w:rPr>
        <w:t>Website  GitHub  Dashboard  APIs  Payment Workflows  MCP</w:t>
      </w:r>
    </w:p>
    <w:p>
      <w:r>
        <w:t>Prepared for ShaBaas Pay leadership and engineering</w:t>
      </w:r>
    </w:p>
    <w:p>
      <w:r>
        <w:t>Date: 18 September 2026</w:t>
      </w:r>
    </w:p>
    <w:p>
      <w:r>
        <w:br/>
      </w:r>
    </w:p>
    <w:p>
      <w:r>
        <w:rPr>
          <w:b/>
        </w:rPr>
        <w:t>Decision</w:t>
      </w:r>
      <w:r/>
    </w:p>
    <w:p>
      <w:r>
        <w:t>Adopt the refined plan with the corrections and release gates in this document. The immediate baseline uses existing Cloudflare Enterprise, GitHub, and Google Cloud capabilities plus open-source scanners. Production MCP money movement remains disabled until transaction-bound human approval, merchant limits, replay prevention, and isolated write execution are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rPr>
        <w:tc>
          <w:tcPr>
            <w:tcW w:type="dxa" w:w="2232"/>
            <w:shd w:fill="123C66"/>
            <w:tcMar>
              <w:top w:w="80" w:type="dxa"/>
              <w:start w:w="100" w:type="dxa"/>
              <w:bottom w:w="80" w:type="dxa"/>
              <w:end w:w="100" w:type="dxa"/>
            </w:tcMar>
            <w:vAlign w:val="center"/>
          </w:tcPr>
          <w:p>
            <w:pPr>
              <w:keepLines/>
              <w:jc w:val="center"/>
            </w:pPr>
            <w:r>
              <w:rPr>
                <w:b/>
                <w:color w:val="FFFFFF"/>
                <w:sz w:val="17"/>
              </w:rPr>
              <w:t>Outcome</w:t>
            </w:r>
          </w:p>
        </w:tc>
        <w:tc>
          <w:tcPr>
            <w:tcW w:type="dxa" w:w="7704"/>
            <w:shd w:fill="123C66"/>
            <w:tcMar>
              <w:top w:w="80" w:type="dxa"/>
              <w:start w:w="100" w:type="dxa"/>
              <w:bottom w:w="80" w:type="dxa"/>
              <w:end w:w="100" w:type="dxa"/>
            </w:tcMar>
            <w:vAlign w:val="center"/>
          </w:tcPr>
          <w:p>
            <w:pPr>
              <w:keepLines/>
              <w:jc w:val="center"/>
            </w:pPr>
            <w:r>
              <w:rPr>
                <w:b/>
                <w:color w:val="FFFFFF"/>
                <w:sz w:val="17"/>
              </w:rPr>
              <w:t>Required position</w:t>
            </w:r>
          </w:p>
        </w:tc>
      </w:tr>
      <w:tr>
        <w:trPr>
          <w:cantSplit/>
        </w:trPr>
        <w:tc>
          <w:tcPr>
            <w:tcW w:type="dxa" w:w="2232"/>
            <w:tcMar>
              <w:top w:w="80" w:type="dxa"/>
              <w:start w:w="100" w:type="dxa"/>
              <w:bottom w:w="80" w:type="dxa"/>
              <w:end w:w="100" w:type="dxa"/>
            </w:tcMar>
            <w:vAlign w:val="center"/>
          </w:tcPr>
          <w:p>
            <w:pPr>
              <w:keepLines/>
            </w:pPr>
            <w:r>
              <w:rPr>
                <w:sz w:val="17"/>
              </w:rPr>
              <w:t>Public website</w:t>
            </w:r>
          </w:p>
        </w:tc>
        <w:tc>
          <w:tcPr>
            <w:tcW w:type="dxa" w:w="7704"/>
            <w:tcMar>
              <w:top w:w="80" w:type="dxa"/>
              <w:start w:w="100" w:type="dxa"/>
              <w:bottom w:w="80" w:type="dxa"/>
              <w:end w:w="100" w:type="dxa"/>
            </w:tcMar>
            <w:vAlign w:val="center"/>
          </w:tcPr>
          <w:p>
            <w:pPr>
              <w:keepLines/>
            </w:pPr>
            <w:r>
              <w:rPr>
                <w:sz w:val="17"/>
              </w:rPr>
              <w:t>Cloudflare-fronted static site with verified security headers and protected deployment workflow</w:t>
            </w:r>
          </w:p>
        </w:tc>
      </w:tr>
      <w:tr>
        <w:trPr>
          <w:cantSplit/>
        </w:trPr>
        <w:tc>
          <w:tcPr>
            <w:tcW w:type="dxa" w:w="2232"/>
            <w:tcMar>
              <w:top w:w="80" w:type="dxa"/>
              <w:start w:w="100" w:type="dxa"/>
              <w:bottom w:w="80" w:type="dxa"/>
              <w:end w:w="100" w:type="dxa"/>
            </w:tcMar>
            <w:vAlign w:val="center"/>
            <w:shd w:fill="F5F7F9"/>
          </w:tcPr>
          <w:p>
            <w:pPr>
              <w:keepLines/>
            </w:pPr>
            <w:r>
              <w:rPr>
                <w:sz w:val="17"/>
              </w:rPr>
              <w:t>Dashboard and APIs</w:t>
            </w:r>
          </w:p>
        </w:tc>
        <w:tc>
          <w:tcPr>
            <w:tcW w:type="dxa" w:w="7704"/>
            <w:tcMar>
              <w:top w:w="80" w:type="dxa"/>
              <w:start w:w="100" w:type="dxa"/>
              <w:bottom w:w="80" w:type="dxa"/>
              <w:end w:w="100" w:type="dxa"/>
            </w:tcMar>
            <w:vAlign w:val="center"/>
            <w:shd w:fill="F5F7F9"/>
          </w:tcPr>
          <w:p>
            <w:pPr>
              <w:keepLines/>
            </w:pPr>
            <w:r>
              <w:rPr>
                <w:sz w:val="17"/>
              </w:rPr>
              <w:t>Tenant-bound authorisation, strict input contracts, protected sessions, limits and complete audit events</w:t>
            </w:r>
          </w:p>
        </w:tc>
      </w:tr>
      <w:tr>
        <w:trPr>
          <w:cantSplit/>
        </w:trPr>
        <w:tc>
          <w:tcPr>
            <w:tcW w:type="dxa" w:w="2232"/>
            <w:tcMar>
              <w:top w:w="80" w:type="dxa"/>
              <w:start w:w="100" w:type="dxa"/>
              <w:bottom w:w="80" w:type="dxa"/>
              <w:end w:w="100" w:type="dxa"/>
            </w:tcMar>
            <w:vAlign w:val="center"/>
          </w:tcPr>
          <w:p>
            <w:pPr>
              <w:keepLines/>
            </w:pPr>
            <w:r>
              <w:rPr>
                <w:sz w:val="17"/>
              </w:rPr>
              <w:t>Payment workflows</w:t>
            </w:r>
          </w:p>
        </w:tc>
        <w:tc>
          <w:tcPr>
            <w:tcW w:type="dxa" w:w="7704"/>
            <w:tcMar>
              <w:top w:w="80" w:type="dxa"/>
              <w:start w:w="100" w:type="dxa"/>
              <w:bottom w:w="80" w:type="dxa"/>
              <w:end w:w="100" w:type="dxa"/>
            </w:tcMar>
            <w:vAlign w:val="center"/>
          </w:tcPr>
          <w:p>
            <w:pPr>
              <w:keepLines/>
            </w:pPr>
            <w:r>
              <w:rPr>
                <w:sz w:val="17"/>
              </w:rPr>
              <w:t>Provider reconciliation, deterministic idempotency and controlled settlement-routing changes</w:t>
            </w:r>
          </w:p>
        </w:tc>
      </w:tr>
      <w:tr>
        <w:trPr>
          <w:cantSplit/>
        </w:trPr>
        <w:tc>
          <w:tcPr>
            <w:tcW w:type="dxa" w:w="2232"/>
            <w:tcMar>
              <w:top w:w="80" w:type="dxa"/>
              <w:start w:w="100" w:type="dxa"/>
              <w:bottom w:w="80" w:type="dxa"/>
              <w:end w:w="100" w:type="dxa"/>
            </w:tcMar>
            <w:vAlign w:val="center"/>
            <w:shd w:fill="F5F7F9"/>
          </w:tcPr>
          <w:p>
            <w:pPr>
              <w:keepLines/>
            </w:pPr>
            <w:r>
              <w:rPr>
                <w:sz w:val="17"/>
              </w:rPr>
              <w:t>MCP</w:t>
            </w:r>
          </w:p>
        </w:tc>
        <w:tc>
          <w:tcPr>
            <w:tcW w:type="dxa" w:w="7704"/>
            <w:tcMar>
              <w:top w:w="80" w:type="dxa"/>
              <w:start w:w="100" w:type="dxa"/>
              <w:bottom w:w="80" w:type="dxa"/>
              <w:end w:w="100" w:type="dxa"/>
            </w:tcMar>
            <w:vAlign w:val="center"/>
            <w:shd w:fill="F5F7F9"/>
          </w:tcPr>
          <w:p>
            <w:pPr>
              <w:keepLines/>
            </w:pPr>
            <w:r>
              <w:rPr>
                <w:sz w:val="17"/>
              </w:rPr>
              <w:t>Read-only first; write tools isolated and gated by externally approved, single-use intent tokens</w:t>
            </w:r>
          </w:p>
        </w:tc>
      </w:tr>
    </w:tbl>
    <w:p>
      <w:pPr>
        <w:spacing w:after="20"/>
      </w:pPr>
    </w:p>
    <w:p>
      <w:r>
        <w:rPr>
          <w:b/>
        </w:rPr>
        <w:t>Scope and known architecture</w:t>
      </w:r>
      <w:r/>
    </w:p>
    <w:p>
      <w:r>
        <w:t>Known context includes a static HTML/CSS/JavaScript website in shabaaspay/sbpwebui; private application repositories including shabaasBE, payUserAppFE and payBusinessAppFE; Node.js/TypeScript MCP components; Cloud Run deployment history; dev-api.shabaas.com for non-production; and mcp.shabaas.com for the remote MCP endpoint. The production database engine, current MCP authentication behaviour, origin topology and contracted Cloudflare API Security entitlements must be verified before database or edge changes are applied.</w:t>
      </w:r>
    </w:p>
    <w:p>
      <w:r>
        <w:br w:type="page"/>
      </w:r>
    </w:p>
    <w:p>
      <w:pPr>
        <w:pStyle w:val="Heading1"/>
      </w:pPr>
      <w:r>
        <w:t>1 Validation of the proposed plan</w:t>
      </w:r>
    </w:p>
    <w:p>
      <w:r>
        <w:t>The plan is technically strong and should proceed after the following adjustments. These changes prevent controls from creating new availability or security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1944"/>
            <w:shd w:fill="123C66"/>
            <w:tcMar>
              <w:top w:w="80" w:type="dxa"/>
              <w:start w:w="100" w:type="dxa"/>
              <w:bottom w:w="80" w:type="dxa"/>
              <w:end w:w="100" w:type="dxa"/>
            </w:tcMar>
            <w:vAlign w:val="center"/>
          </w:tcPr>
          <w:p>
            <w:pPr>
              <w:keepLines/>
              <w:jc w:val="center"/>
            </w:pPr>
            <w:r>
              <w:rPr>
                <w:b/>
                <w:color w:val="FFFFFF"/>
                <w:sz w:val="15"/>
              </w:rPr>
              <w:t>Proposal</w:t>
            </w:r>
          </w:p>
        </w:tc>
        <w:tc>
          <w:tcPr>
            <w:tcW w:type="dxa" w:w="1656"/>
            <w:shd w:fill="123C66"/>
            <w:tcMar>
              <w:top w:w="80" w:type="dxa"/>
              <w:start w:w="100" w:type="dxa"/>
              <w:bottom w:w="80" w:type="dxa"/>
              <w:end w:w="100" w:type="dxa"/>
            </w:tcMar>
            <w:vAlign w:val="center"/>
          </w:tcPr>
          <w:p>
            <w:pPr>
              <w:keepLines/>
              <w:jc w:val="center"/>
            </w:pPr>
            <w:r>
              <w:rPr>
                <w:b/>
                <w:color w:val="FFFFFF"/>
                <w:sz w:val="15"/>
              </w:rPr>
              <w:t>Validation</w:t>
            </w:r>
          </w:p>
        </w:tc>
        <w:tc>
          <w:tcPr>
            <w:tcW w:type="dxa" w:w="6336"/>
            <w:shd w:fill="123C66"/>
            <w:tcMar>
              <w:top w:w="80" w:type="dxa"/>
              <w:start w:w="100" w:type="dxa"/>
              <w:bottom w:w="80" w:type="dxa"/>
              <w:end w:w="100" w:type="dxa"/>
            </w:tcMar>
            <w:vAlign w:val="center"/>
          </w:tcPr>
          <w:p>
            <w:pPr>
              <w:keepLines/>
              <w:jc w:val="center"/>
            </w:pPr>
            <w:r>
              <w:rPr>
                <w:b/>
                <w:color w:val="FFFFFF"/>
                <w:sz w:val="15"/>
              </w:rPr>
              <w:t>Required adjustment</w:t>
            </w:r>
          </w:p>
        </w:tc>
      </w:tr>
      <w:tr>
        <w:trPr>
          <w:cantSplit/>
        </w:trPr>
        <w:tc>
          <w:tcPr>
            <w:tcW w:type="dxa" w:w="1944"/>
            <w:tcMar>
              <w:top w:w="80" w:type="dxa"/>
              <w:start w:w="100" w:type="dxa"/>
              <w:bottom w:w="80" w:type="dxa"/>
              <w:end w:w="100" w:type="dxa"/>
            </w:tcMar>
            <w:vAlign w:val="center"/>
          </w:tcPr>
          <w:p>
            <w:pPr>
              <w:keepLines/>
              <w:jc w:val="center"/>
            </w:pPr>
            <w:r>
              <w:rPr>
                <w:sz w:val="15"/>
              </w:rPr>
              <w:t>Timeout state machine</w:t>
            </w:r>
          </w:p>
        </w:tc>
        <w:tc>
          <w:tcPr>
            <w:tcW w:type="dxa" w:w="1656"/>
            <w:tcMar>
              <w:top w:w="80" w:type="dxa"/>
              <w:start w:w="100" w:type="dxa"/>
              <w:bottom w:w="80" w:type="dxa"/>
              <w:end w:w="100" w:type="dxa"/>
            </w:tcMar>
            <w:vAlign w:val="center"/>
          </w:tcPr>
          <w:p>
            <w:pPr>
              <w:keepLines/>
            </w:pPr>
            <w:r>
              <w:rPr>
                <w:sz w:val="15"/>
              </w:rPr>
              <w:t>Approve</w:t>
            </w:r>
          </w:p>
        </w:tc>
        <w:tc>
          <w:tcPr>
            <w:tcW w:type="dxa" w:w="6336"/>
            <w:tcMar>
              <w:top w:w="80" w:type="dxa"/>
              <w:start w:w="100" w:type="dxa"/>
              <w:bottom w:w="80" w:type="dxa"/>
              <w:end w:w="100" w:type="dxa"/>
            </w:tcMar>
            <w:vAlign w:val="center"/>
          </w:tcPr>
          <w:p>
            <w:pPr>
              <w:keepLines/>
            </w:pPr>
            <w:r>
              <w:rPr>
                <w:sz w:val="15"/>
              </w:rPr>
              <w:t>Use SUBMITTED or PENDING_RECONCILIATION; do not retry until provider query, webhook or reconciliation establishes the outcome. Define a controlled exception process for prolonged uncertainty.</w:t>
            </w:r>
          </w:p>
        </w:tc>
      </w:tr>
      <w:tr>
        <w:trPr>
          <w:cantSplit/>
        </w:trPr>
        <w:tc>
          <w:tcPr>
            <w:tcW w:type="dxa" w:w="1944"/>
            <w:tcMar>
              <w:top w:w="80" w:type="dxa"/>
              <w:start w:w="100" w:type="dxa"/>
              <w:bottom w:w="80" w:type="dxa"/>
              <w:end w:w="100" w:type="dxa"/>
            </w:tcMar>
            <w:vAlign w:val="center"/>
            <w:shd w:fill="F5F7F9"/>
          </w:tcPr>
          <w:p>
            <w:pPr>
              <w:keepLines/>
              <w:jc w:val="center"/>
            </w:pPr>
            <w:r>
              <w:rPr>
                <w:sz w:val="15"/>
              </w:rPr>
              <w:t>SHA-256 request binding</w:t>
            </w:r>
          </w:p>
        </w:tc>
        <w:tc>
          <w:tcPr>
            <w:tcW w:type="dxa" w:w="1656"/>
            <w:tcMar>
              <w:top w:w="80" w:type="dxa"/>
              <w:start w:w="100" w:type="dxa"/>
              <w:bottom w:w="80" w:type="dxa"/>
              <w:end w:w="100" w:type="dxa"/>
            </w:tcMar>
            <w:vAlign w:val="center"/>
            <w:shd w:fill="F5F7F9"/>
          </w:tcPr>
          <w:p>
            <w:pPr>
              <w:keepLines/>
            </w:pPr>
            <w:r>
              <w:rPr>
                <w:sz w:val="15"/>
              </w:rPr>
              <w:t>Approve</w:t>
            </w:r>
          </w:p>
        </w:tc>
        <w:tc>
          <w:tcPr>
            <w:tcW w:type="dxa" w:w="6336"/>
            <w:tcMar>
              <w:top w:w="80" w:type="dxa"/>
              <w:start w:w="100" w:type="dxa"/>
              <w:bottom w:w="80" w:type="dxa"/>
              <w:end w:w="100" w:type="dxa"/>
            </w:tcMar>
            <w:vAlign w:val="center"/>
            <w:shd w:fill="F5F7F9"/>
          </w:tcPr>
          <w:p>
            <w:pPr>
              <w:keepLines/>
            </w:pPr>
            <w:r>
              <w:rPr>
                <w:sz w:val="15"/>
              </w:rPr>
              <w:t>Canonicalise values and store the hash, response and processing state under a database uniqueness constraint scoped to merchant plus endpoint plus key. Return the original response for exact repeats; return 409 for a changed payload.</w:t>
            </w:r>
          </w:p>
        </w:tc>
      </w:tr>
      <w:tr>
        <w:trPr>
          <w:cantSplit/>
        </w:trPr>
        <w:tc>
          <w:tcPr>
            <w:tcW w:type="dxa" w:w="1944"/>
            <w:tcMar>
              <w:top w:w="80" w:type="dxa"/>
              <w:start w:w="100" w:type="dxa"/>
              <w:bottom w:w="80" w:type="dxa"/>
              <w:end w:w="100" w:type="dxa"/>
            </w:tcMar>
            <w:vAlign w:val="center"/>
          </w:tcPr>
          <w:p>
            <w:pPr>
              <w:keepLines/>
              <w:jc w:val="center"/>
            </w:pPr>
            <w:r>
              <w:rPr>
                <w:sz w:val="15"/>
              </w:rPr>
              <w:t>24-hour settlement delay</w:t>
            </w:r>
          </w:p>
        </w:tc>
        <w:tc>
          <w:tcPr>
            <w:tcW w:type="dxa" w:w="1656"/>
            <w:tcMar>
              <w:top w:w="80" w:type="dxa"/>
              <w:start w:w="100" w:type="dxa"/>
              <w:bottom w:w="80" w:type="dxa"/>
              <w:end w:w="100" w:type="dxa"/>
            </w:tcMar>
            <w:vAlign w:val="center"/>
          </w:tcPr>
          <w:p>
            <w:pPr>
              <w:keepLines/>
            </w:pPr>
            <w:r>
              <w:rPr>
                <w:sz w:val="15"/>
              </w:rPr>
              <w:t>Approve as policy</w:t>
            </w:r>
          </w:p>
        </w:tc>
        <w:tc>
          <w:tcPr>
            <w:tcW w:type="dxa" w:w="6336"/>
            <w:tcMar>
              <w:top w:w="80" w:type="dxa"/>
              <w:start w:w="100" w:type="dxa"/>
              <w:bottom w:w="80" w:type="dxa"/>
              <w:end w:w="100" w:type="dxa"/>
            </w:tcMar>
            <w:vAlign w:val="center"/>
          </w:tcPr>
          <w:p>
            <w:pPr>
              <w:keepLines/>
            </w:pPr>
            <w:r>
              <w:rPr>
                <w:sz w:val="15"/>
              </w:rPr>
              <w:t>Treat 24 hours as ShaBaas Pay policy subject to provider capability and emergency exception governance. Require two distinct authorised identities and notify existing trusted contacts.</w:t>
            </w:r>
          </w:p>
        </w:tc>
      </w:tr>
      <w:tr>
        <w:trPr>
          <w:cantSplit/>
        </w:trPr>
        <w:tc>
          <w:tcPr>
            <w:tcW w:type="dxa" w:w="1944"/>
            <w:tcMar>
              <w:top w:w="80" w:type="dxa"/>
              <w:start w:w="100" w:type="dxa"/>
              <w:bottom w:w="80" w:type="dxa"/>
              <w:end w:w="100" w:type="dxa"/>
            </w:tcMar>
            <w:vAlign w:val="center"/>
            <w:shd w:fill="F5F7F9"/>
          </w:tcPr>
          <w:p>
            <w:pPr>
              <w:keepLines/>
              <w:jc w:val="center"/>
            </w:pPr>
            <w:r>
              <w:rPr>
                <w:sz w:val="15"/>
              </w:rPr>
              <w:t>One-click payout freeze</w:t>
            </w:r>
          </w:p>
        </w:tc>
        <w:tc>
          <w:tcPr>
            <w:tcW w:type="dxa" w:w="1656"/>
            <w:tcMar>
              <w:top w:w="80" w:type="dxa"/>
              <w:start w:w="100" w:type="dxa"/>
              <w:bottom w:w="80" w:type="dxa"/>
              <w:end w:w="100" w:type="dxa"/>
            </w:tcMar>
            <w:vAlign w:val="center"/>
            <w:shd w:fill="F5F7F9"/>
          </w:tcPr>
          <w:p>
            <w:pPr>
              <w:keepLines/>
            </w:pPr>
            <w:r>
              <w:rPr>
                <w:sz w:val="15"/>
              </w:rPr>
              <w:t>Modify</w:t>
            </w:r>
          </w:p>
        </w:tc>
        <w:tc>
          <w:tcPr>
            <w:tcW w:type="dxa" w:w="6336"/>
            <w:tcMar>
              <w:top w:w="80" w:type="dxa"/>
              <w:start w:w="100" w:type="dxa"/>
              <w:bottom w:w="80" w:type="dxa"/>
              <w:end w:w="100" w:type="dxa"/>
            </w:tcMar>
            <w:vAlign w:val="center"/>
            <w:shd w:fill="F5F7F9"/>
          </w:tcPr>
          <w:p>
            <w:pPr>
              <w:keepLines/>
            </w:pPr>
            <w:r>
              <w:rPr>
                <w:sz w:val="15"/>
              </w:rPr>
              <w:t>Email or SMS may open the freeze workflow, but the state change must be an authenticated POST with fresh verification, CSRF protection and single-use token. Never change state through a link-opening GET request.</w:t>
            </w:r>
          </w:p>
        </w:tc>
      </w:tr>
      <w:tr>
        <w:trPr>
          <w:cantSplit/>
        </w:trPr>
        <w:tc>
          <w:tcPr>
            <w:tcW w:type="dxa" w:w="1944"/>
            <w:tcMar>
              <w:top w:w="80" w:type="dxa"/>
              <w:start w:w="100" w:type="dxa"/>
              <w:bottom w:w="80" w:type="dxa"/>
              <w:end w:w="100" w:type="dxa"/>
            </w:tcMar>
            <w:vAlign w:val="center"/>
          </w:tcPr>
          <w:p>
            <w:pPr>
              <w:keepLines/>
              <w:jc w:val="center"/>
            </w:pPr>
            <w:r>
              <w:rPr>
                <w:sz w:val="15"/>
              </w:rPr>
              <w:t>Ed25519 intent token</w:t>
            </w:r>
          </w:p>
        </w:tc>
        <w:tc>
          <w:tcPr>
            <w:tcW w:type="dxa" w:w="1656"/>
            <w:tcMar>
              <w:top w:w="80" w:type="dxa"/>
              <w:start w:w="100" w:type="dxa"/>
              <w:bottom w:w="80" w:type="dxa"/>
              <w:end w:w="100" w:type="dxa"/>
            </w:tcMar>
            <w:vAlign w:val="center"/>
          </w:tcPr>
          <w:p>
            <w:pPr>
              <w:keepLines/>
            </w:pPr>
            <w:r>
              <w:rPr>
                <w:sz w:val="15"/>
              </w:rPr>
              <w:t>Approve with correction</w:t>
            </w:r>
          </w:p>
        </w:tc>
        <w:tc>
          <w:tcPr>
            <w:tcW w:type="dxa" w:w="6336"/>
            <w:tcMar>
              <w:top w:w="80" w:type="dxa"/>
              <w:start w:w="100" w:type="dxa"/>
              <w:bottom w:w="80" w:type="dxa"/>
              <w:end w:w="100" w:type="dxa"/>
            </w:tcMar>
            <w:vAlign w:val="center"/>
          </w:tcPr>
          <w:p>
            <w:pPr>
              <w:keepLines/>
            </w:pPr>
            <w:r>
              <w:rPr>
                <w:sz w:val="15"/>
              </w:rPr>
              <w:t>The trusted approval service signs only after user authentication and confirmation. Browser code holds no signing key. The execution service validates issuer, audience, exact intent, policy version, expiry and nonce.</w:t>
            </w:r>
          </w:p>
        </w:tc>
      </w:tr>
      <w:tr>
        <w:trPr>
          <w:cantSplit/>
        </w:trPr>
        <w:tc>
          <w:tcPr>
            <w:tcW w:type="dxa" w:w="1944"/>
            <w:tcMar>
              <w:top w:w="80" w:type="dxa"/>
              <w:start w:w="100" w:type="dxa"/>
              <w:bottom w:w="80" w:type="dxa"/>
              <w:end w:w="100" w:type="dxa"/>
            </w:tcMar>
            <w:vAlign w:val="center"/>
            <w:shd w:fill="F5F7F9"/>
          </w:tcPr>
          <w:p>
            <w:pPr>
              <w:keepLines/>
              <w:jc w:val="center"/>
            </w:pPr>
            <w:r>
              <w:rPr>
                <w:sz w:val="15"/>
              </w:rPr>
              <w:t>DNS pinning</w:t>
            </w:r>
          </w:p>
        </w:tc>
        <w:tc>
          <w:tcPr>
            <w:tcW w:type="dxa" w:w="1656"/>
            <w:tcMar>
              <w:top w:w="80" w:type="dxa"/>
              <w:start w:w="100" w:type="dxa"/>
              <w:bottom w:w="80" w:type="dxa"/>
              <w:end w:w="100" w:type="dxa"/>
            </w:tcMar>
            <w:vAlign w:val="center"/>
            <w:shd w:fill="F5F7F9"/>
          </w:tcPr>
          <w:p>
            <w:pPr>
              <w:keepLines/>
            </w:pPr>
            <w:r>
              <w:rPr>
                <w:sz w:val="15"/>
              </w:rPr>
              <w:t>Approve with TLS guardrail</w:t>
            </w:r>
          </w:p>
        </w:tc>
        <w:tc>
          <w:tcPr>
            <w:tcW w:type="dxa" w:w="6336"/>
            <w:tcMar>
              <w:top w:w="80" w:type="dxa"/>
              <w:start w:w="100" w:type="dxa"/>
              <w:bottom w:w="80" w:type="dxa"/>
              <w:end w:w="100" w:type="dxa"/>
            </w:tcMar>
            <w:vAlign w:val="center"/>
            <w:shd w:fill="F5F7F9"/>
          </w:tcPr>
          <w:p>
            <w:pPr>
              <w:keepLines/>
            </w:pPr>
            <w:r>
              <w:rPr>
                <w:sz w:val="15"/>
              </w:rPr>
              <w:t>Resolve and validate immediately before connection, connect only to an approved address, preserve hostname verification and SNI, disable redirects or revalidate every hop, and enforce network egress restrictions.</w:t>
            </w:r>
          </w:p>
        </w:tc>
      </w:tr>
      <w:tr>
        <w:trPr>
          <w:cantSplit/>
        </w:trPr>
        <w:tc>
          <w:tcPr>
            <w:tcW w:type="dxa" w:w="1944"/>
            <w:tcMar>
              <w:top w:w="80" w:type="dxa"/>
              <w:start w:w="100" w:type="dxa"/>
              <w:bottom w:w="80" w:type="dxa"/>
              <w:end w:w="100" w:type="dxa"/>
            </w:tcMar>
            <w:vAlign w:val="center"/>
          </w:tcPr>
          <w:p>
            <w:pPr>
              <w:keepLines/>
              <w:jc w:val="center"/>
            </w:pPr>
            <w:r>
              <w:rPr>
                <w:sz w:val="15"/>
              </w:rPr>
              <w:t>TruffleHog pre-commit</w:t>
            </w:r>
          </w:p>
        </w:tc>
        <w:tc>
          <w:tcPr>
            <w:tcW w:type="dxa" w:w="1656"/>
            <w:tcMar>
              <w:top w:w="80" w:type="dxa"/>
              <w:start w:w="100" w:type="dxa"/>
              <w:bottom w:w="80" w:type="dxa"/>
              <w:end w:w="100" w:type="dxa"/>
            </w:tcMar>
            <w:vAlign w:val="center"/>
          </w:tcPr>
          <w:p>
            <w:pPr>
              <w:keepLines/>
            </w:pPr>
            <w:r>
              <w:rPr>
                <w:sz w:val="15"/>
              </w:rPr>
              <w:t>Approve</w:t>
            </w:r>
          </w:p>
        </w:tc>
        <w:tc>
          <w:tcPr>
            <w:tcW w:type="dxa" w:w="6336"/>
            <w:tcMar>
              <w:top w:w="80" w:type="dxa"/>
              <w:start w:w="100" w:type="dxa"/>
              <w:bottom w:w="80" w:type="dxa"/>
              <w:end w:w="100" w:type="dxa"/>
            </w:tcMar>
            <w:vAlign w:val="center"/>
          </w:tcPr>
          <w:p>
            <w:pPr>
              <w:keepLines/>
            </w:pPr>
            <w:r>
              <w:rPr>
                <w:sz w:val="15"/>
              </w:rPr>
              <w:t>Use a local hook for fast prevention plus server-side scanning and rotation procedures. Local hooks remain bypassable.</w:t>
            </w:r>
          </w:p>
        </w:tc>
      </w:tr>
      <w:tr>
        <w:trPr>
          <w:cantSplit/>
        </w:trPr>
        <w:tc>
          <w:tcPr>
            <w:tcW w:type="dxa" w:w="1944"/>
            <w:tcMar>
              <w:top w:w="80" w:type="dxa"/>
              <w:start w:w="100" w:type="dxa"/>
              <w:bottom w:w="80" w:type="dxa"/>
              <w:end w:w="100" w:type="dxa"/>
            </w:tcMar>
            <w:vAlign w:val="center"/>
            <w:shd w:fill="F5F7F9"/>
          </w:tcPr>
          <w:p>
            <w:pPr>
              <w:keepLines/>
              <w:jc w:val="center"/>
            </w:pPr>
            <w:r>
              <w:rPr>
                <w:sz w:val="15"/>
              </w:rPr>
              <w:t>PostgreSQL RLS</w:t>
            </w:r>
          </w:p>
        </w:tc>
        <w:tc>
          <w:tcPr>
            <w:tcW w:type="dxa" w:w="1656"/>
            <w:tcMar>
              <w:top w:w="80" w:type="dxa"/>
              <w:start w:w="100" w:type="dxa"/>
              <w:bottom w:w="80" w:type="dxa"/>
              <w:end w:w="100" w:type="dxa"/>
            </w:tcMar>
            <w:vAlign w:val="center"/>
            <w:shd w:fill="F5F7F9"/>
          </w:tcPr>
          <w:p>
            <w:pPr>
              <w:keepLines/>
            </w:pPr>
            <w:r>
              <w:rPr>
                <w:sz w:val="15"/>
              </w:rPr>
              <w:t>Conditional</w:t>
            </w:r>
          </w:p>
        </w:tc>
        <w:tc>
          <w:tcPr>
            <w:tcW w:type="dxa" w:w="6336"/>
            <w:tcMar>
              <w:top w:w="80" w:type="dxa"/>
              <w:start w:w="100" w:type="dxa"/>
              <w:bottom w:w="80" w:type="dxa"/>
              <w:end w:w="100" w:type="dxa"/>
            </w:tcMar>
            <w:vAlign w:val="center"/>
            <w:shd w:fill="F5F7F9"/>
          </w:tcPr>
          <w:p>
            <w:pPr>
              <w:keepLines/>
            </w:pPr>
            <w:r>
              <w:rPr>
                <w:sz w:val="15"/>
              </w:rPr>
              <w:t>Implement only after confirming PostgreSQL and pooler behaviour. Use a non-owner runtime role, transaction-scoped tenant context, FORCE RLS where appropriate, and negative multi-tenant tests.</w:t>
            </w:r>
          </w:p>
        </w:tc>
      </w:tr>
      <w:tr>
        <w:trPr>
          <w:cantSplit/>
        </w:trPr>
        <w:tc>
          <w:tcPr>
            <w:tcW w:type="dxa" w:w="1944"/>
            <w:tcMar>
              <w:top w:w="80" w:type="dxa"/>
              <w:start w:w="100" w:type="dxa"/>
              <w:bottom w:w="80" w:type="dxa"/>
              <w:end w:w="100" w:type="dxa"/>
            </w:tcMar>
            <w:vAlign w:val="center"/>
          </w:tcPr>
          <w:p>
            <w:pPr>
              <w:keepLines/>
              <w:jc w:val="center"/>
            </w:pPr>
            <w:r>
              <w:rPr>
                <w:sz w:val="15"/>
              </w:rPr>
              <w:t>Cloudflare schema blocking</w:t>
            </w:r>
          </w:p>
        </w:tc>
        <w:tc>
          <w:tcPr>
            <w:tcW w:type="dxa" w:w="1656"/>
            <w:tcMar>
              <w:top w:w="80" w:type="dxa"/>
              <w:start w:w="100" w:type="dxa"/>
              <w:bottom w:w="80" w:type="dxa"/>
              <w:end w:w="100" w:type="dxa"/>
            </w:tcMar>
            <w:vAlign w:val="center"/>
          </w:tcPr>
          <w:p>
            <w:pPr>
              <w:keepLines/>
            </w:pPr>
            <w:r>
              <w:rPr>
                <w:sz w:val="15"/>
              </w:rPr>
              <w:t>Approve in stages</w:t>
            </w:r>
          </w:p>
        </w:tc>
        <w:tc>
          <w:tcPr>
            <w:tcW w:type="dxa" w:w="6336"/>
            <w:tcMar>
              <w:top w:w="80" w:type="dxa"/>
              <w:start w:w="100" w:type="dxa"/>
              <w:bottom w:w="80" w:type="dxa"/>
              <w:end w:w="100" w:type="dxa"/>
            </w:tcMar>
            <w:vAlign w:val="center"/>
          </w:tcPr>
          <w:p>
            <w:pPr>
              <w:keepLines/>
            </w:pPr>
            <w:r>
              <w:rPr>
                <w:sz w:val="15"/>
              </w:rPr>
              <w:t>Log first, resolve false positives and incomplete OpenAPI coverage, then block. Continue backend validation because edge schemas do not enforce business authorisation.</w:t>
            </w:r>
          </w:p>
        </w:tc>
      </w:tr>
      <w:tr>
        <w:trPr>
          <w:cantSplit/>
        </w:trPr>
        <w:tc>
          <w:tcPr>
            <w:tcW w:type="dxa" w:w="1944"/>
            <w:tcMar>
              <w:top w:w="80" w:type="dxa"/>
              <w:start w:w="100" w:type="dxa"/>
              <w:bottom w:w="80" w:type="dxa"/>
              <w:end w:w="100" w:type="dxa"/>
            </w:tcMar>
            <w:vAlign w:val="center"/>
            <w:shd w:fill="F5F7F9"/>
          </w:tcPr>
          <w:p>
            <w:pPr>
              <w:keepLines/>
              <w:jc w:val="center"/>
            </w:pPr>
            <w:r>
              <w:rPr>
                <w:sz w:val="15"/>
              </w:rPr>
              <w:t>Tokenise all identifiers</w:t>
            </w:r>
          </w:p>
        </w:tc>
        <w:tc>
          <w:tcPr>
            <w:tcW w:type="dxa" w:w="1656"/>
            <w:tcMar>
              <w:top w:w="80" w:type="dxa"/>
              <w:start w:w="100" w:type="dxa"/>
              <w:bottom w:w="80" w:type="dxa"/>
              <w:end w:w="100" w:type="dxa"/>
            </w:tcMar>
            <w:vAlign w:val="center"/>
            <w:shd w:fill="F5F7F9"/>
          </w:tcPr>
          <w:p>
            <w:pPr>
              <w:keepLines/>
            </w:pPr>
            <w:r>
              <w:rPr>
                <w:sz w:val="15"/>
              </w:rPr>
              <w:t>Refine</w:t>
            </w:r>
          </w:p>
        </w:tc>
        <w:tc>
          <w:tcPr>
            <w:tcW w:type="dxa" w:w="6336"/>
            <w:tcMar>
              <w:top w:w="80" w:type="dxa"/>
              <w:start w:w="100" w:type="dxa"/>
              <w:bottom w:w="80" w:type="dxa"/>
              <w:end w:w="100" w:type="dxa"/>
            </w:tcMar>
            <w:vAlign w:val="center"/>
            <w:shd w:fill="F5F7F9"/>
          </w:tcPr>
          <w:p>
            <w:pPr>
              <w:keepLines/>
            </w:pPr>
            <w:r>
              <w:rPr>
                <w:sz w:val="15"/>
              </w:rPr>
              <w:t>Minimise first. Tokenise where the original value is not needed. Encrypt retained banking attributes with managed keys and strict access. Avoid a new token vault unless the use case requires it.</w:t>
            </w:r>
          </w:p>
        </w:tc>
      </w:tr>
      <w:tr>
        <w:trPr>
          <w:cantSplit/>
        </w:trPr>
        <w:tc>
          <w:tcPr>
            <w:tcW w:type="dxa" w:w="1944"/>
            <w:tcMar>
              <w:top w:w="80" w:type="dxa"/>
              <w:start w:w="100" w:type="dxa"/>
              <w:bottom w:w="80" w:type="dxa"/>
              <w:end w:w="100" w:type="dxa"/>
            </w:tcMar>
            <w:vAlign w:val="center"/>
          </w:tcPr>
          <w:p>
            <w:pPr>
              <w:keepLines/>
              <w:jc w:val="center"/>
            </w:pPr>
            <w:r>
              <w:rPr>
                <w:sz w:val="15"/>
              </w:rPr>
              <w:t>WORM audit export</w:t>
            </w:r>
          </w:p>
        </w:tc>
        <w:tc>
          <w:tcPr>
            <w:tcW w:type="dxa" w:w="1656"/>
            <w:tcMar>
              <w:top w:w="80" w:type="dxa"/>
              <w:start w:w="100" w:type="dxa"/>
              <w:bottom w:w="80" w:type="dxa"/>
              <w:end w:w="100" w:type="dxa"/>
            </w:tcMar>
            <w:vAlign w:val="center"/>
          </w:tcPr>
          <w:p>
            <w:pPr>
              <w:keepLines/>
            </w:pPr>
            <w:r>
              <w:rPr>
                <w:sz w:val="15"/>
              </w:rPr>
              <w:t>Approve</w:t>
            </w:r>
          </w:p>
        </w:tc>
        <w:tc>
          <w:tcPr>
            <w:tcW w:type="dxa" w:w="6336"/>
            <w:tcMar>
              <w:top w:w="80" w:type="dxa"/>
              <w:start w:w="100" w:type="dxa"/>
              <w:bottom w:w="80" w:type="dxa"/>
              <w:end w:w="100" w:type="dxa"/>
            </w:tcMar>
            <w:vAlign w:val="center"/>
          </w:tcPr>
          <w:p>
            <w:pPr>
              <w:keepLines/>
            </w:pPr>
            <w:r>
              <w:rPr>
                <w:sz w:val="15"/>
              </w:rPr>
              <w:t>Use a transactional outbox for completeness and retention-locked object storage for tamper resistance. WORM alone does not prove the original event was captured correctly.</w:t>
            </w:r>
          </w:p>
        </w:tc>
      </w:tr>
      <w:tr>
        <w:trPr>
          <w:cantSplit/>
        </w:trPr>
        <w:tc>
          <w:tcPr>
            <w:tcW w:type="dxa" w:w="1944"/>
            <w:tcMar>
              <w:top w:w="80" w:type="dxa"/>
              <w:start w:w="100" w:type="dxa"/>
              <w:bottom w:w="80" w:type="dxa"/>
              <w:end w:w="100" w:type="dxa"/>
            </w:tcMar>
            <w:vAlign w:val="center"/>
            <w:shd w:fill="F5F7F9"/>
          </w:tcPr>
          <w:p>
            <w:pPr>
              <w:keepLines/>
              <w:jc w:val="center"/>
            </w:pPr>
            <w:r>
              <w:rPr>
                <w:sz w:val="15"/>
              </w:rPr>
              <w:t>15 percent failure breaker</w:t>
            </w:r>
          </w:p>
        </w:tc>
        <w:tc>
          <w:tcPr>
            <w:tcW w:type="dxa" w:w="1656"/>
            <w:tcMar>
              <w:top w:w="80" w:type="dxa"/>
              <w:start w:w="100" w:type="dxa"/>
              <w:bottom w:w="80" w:type="dxa"/>
              <w:end w:w="100" w:type="dxa"/>
            </w:tcMar>
            <w:vAlign w:val="center"/>
            <w:shd w:fill="F5F7F9"/>
          </w:tcPr>
          <w:p>
            <w:pPr>
              <w:keepLines/>
            </w:pPr>
            <w:r>
              <w:rPr>
                <w:sz w:val="15"/>
              </w:rPr>
              <w:t>Approve as initial hypothesis</w:t>
            </w:r>
          </w:p>
        </w:tc>
        <w:tc>
          <w:tcPr>
            <w:tcW w:type="dxa" w:w="6336"/>
            <w:tcMar>
              <w:top w:w="80" w:type="dxa"/>
              <w:start w:w="100" w:type="dxa"/>
              <w:bottom w:w="80" w:type="dxa"/>
              <w:end w:w="100" w:type="dxa"/>
            </w:tcMar>
            <w:vAlign w:val="center"/>
            <w:shd w:fill="F5F7F9"/>
          </w:tcPr>
          <w:p>
            <w:pPr>
              <w:keepLines/>
            </w:pPr>
            <w:r>
              <w:rPr>
                <w:sz w:val="15"/>
              </w:rPr>
              <w:t>Tune by payment rail, merchant volume and minimum sample size. Use alerts and staged actions before automatic suspension; an attacker must not be able to shut down another merchant.</w:t>
            </w:r>
          </w:p>
        </w:tc>
      </w:tr>
    </w:tbl>
    <w:p>
      <w:pPr>
        <w:spacing w:after="20"/>
      </w:pPr>
    </w:p>
    <w:p>
      <w:pPr>
        <w:pStyle w:val="Heading1"/>
      </w:pPr>
      <w:r>
        <w:t>2 Required security architecture</w:t>
      </w:r>
    </w:p>
    <w:p>
      <w:pPr>
        <w:pStyle w:val="Heading2"/>
      </w:pPr>
      <w:r>
        <w:t>2.1 Payment execution and reconciliation</w:t>
      </w:r>
    </w:p>
    <w:p>
      <w:pPr>
        <w:pStyle w:val="ListBullet"/>
        <w:spacing w:after="40"/>
      </w:pPr>
      <w:r>
        <w:t>Model PayTo agreements and BECS instructions with explicit allowed transitions. Store the provider agreement identifier, provider status, local status, version, last verified time and source event.</w:t>
      </w:r>
    </w:p>
    <w:p>
      <w:pPr>
        <w:pStyle w:val="ListBullet"/>
        <w:spacing w:after="40"/>
      </w:pPr>
      <w:r>
        <w:t>At execution, check merchant ownership, current provider-authoritative agreement status, amount and currency limits, agreement version, production entitlement and available payment corridor.</w:t>
      </w:r>
    </w:p>
    <w:p>
      <w:pPr>
        <w:pStyle w:val="ListBullet"/>
        <w:spacing w:after="40"/>
      </w:pPr>
      <w:r>
        <w:t>On timeout, persist an uncertain non-terminal state. Poll and reconcile before any retry. Deduplicate webhooks by immutable provider event identifier.</w:t>
      </w:r>
    </w:p>
    <w:p>
      <w:pPr>
        <w:pStyle w:val="ListBullet"/>
        <w:spacing w:after="40"/>
      </w:pPr>
      <w:r>
        <w:t>Store idempotency records before dispatch using a unique merchant, operation and key constraint. Hash a canonical representation rather than raw JSON formatting.</w:t>
      </w:r>
    </w:p>
    <w:p>
      <w:pPr>
        <w:pStyle w:val="ListBullet"/>
        <w:spacing w:after="40"/>
      </w:pPr>
      <w:r>
        <w:t>Reconcile internal payment, fee, settlement and split-payout records to provider reporting. Alert on missing, duplicated or contradictory events.</w:t>
      </w:r>
    </w:p>
    <w:p>
      <w:pPr>
        <w:pStyle w:val="Heading2"/>
      </w:pPr>
      <w:r>
        <w:t>2.2 Settlement and payout routing</w:t>
      </w:r>
    </w:p>
    <w:p>
      <w:pPr>
        <w:pStyle w:val="ListBullet"/>
        <w:spacing w:after="40"/>
      </w:pPr>
      <w:r>
        <w:t>Create a pending routing version; never overwrite the active record. Record the old and proposed bank details in masked form.</w:t>
      </w:r>
    </w:p>
    <w:p>
      <w:pPr>
        <w:pStyle w:val="ListBullet"/>
        <w:spacing w:after="40"/>
      </w:pPr>
      <w:r>
        <w:t>Require fresh authentication from the initiator and approval by a different authorised person. Validate both people against the merchant organisation and assigned roles.</w:t>
      </w:r>
    </w:p>
    <w:p>
      <w:pPr>
        <w:pStyle w:val="ListBullet"/>
        <w:spacing w:after="40"/>
      </w:pPr>
      <w:r>
        <w:t>Send notifications through pre-existing trusted contact channels. A newly changed email or phone number cannot approve the same routing change.</w:t>
      </w:r>
    </w:p>
    <w:p>
      <w:pPr>
        <w:pStyle w:val="ListBullet"/>
        <w:spacing w:after="40"/>
      </w:pPr>
      <w:r>
        <w:t>Activate after the 24-hour policy delay. Support a controlled emergency process requiring security and operations approval with enhanced logging.</w:t>
      </w:r>
    </w:p>
    <w:p>
      <w:pPr>
        <w:pStyle w:val="ListBullet"/>
        <w:spacing w:after="40"/>
      </w:pPr>
      <w:r>
        <w:t>During the delay, continue using the last approved routing version. Provide an authenticated freeze function and an operations recovery procedure.</w:t>
      </w:r>
    </w:p>
    <w:p>
      <w:pPr>
        <w:pStyle w:val="Heading2"/>
      </w:pPr>
      <w:r>
        <w:t>2.3 Tenant isolation and dashboard security</w:t>
      </w:r>
    </w:p>
    <w:p>
      <w:pPr>
        <w:pStyle w:val="ListBullet"/>
        <w:spacing w:after="40"/>
      </w:pPr>
      <w:r>
        <w:t>Derive merchant identity from the authenticated principal. Do not trust merchant_id supplied by browser, API or MCP input as authority.</w:t>
      </w:r>
    </w:p>
    <w:p>
      <w:pPr>
        <w:pStyle w:val="ListBullet"/>
        <w:spacing w:after="40"/>
      </w:pPr>
      <w:r>
        <w:t>Check object and function permission on every invoice, agreement, payment, report, export, API key, webhook and payout operation.</w:t>
      </w:r>
    </w:p>
    <w:p>
      <w:pPr>
        <w:pStyle w:val="ListBullet"/>
        <w:spacing w:after="40"/>
      </w:pPr>
      <w:r>
        <w:t>If PostgreSQL is confirmed, use RLS as a database backstop. The application runtime must not own tables or have BYPASSRLS. Use SET LOCAL only inside explicit transactions and clear context on every request.</w:t>
      </w:r>
    </w:p>
    <w:p>
      <w:pPr>
        <w:pStyle w:val="ListBullet"/>
        <w:spacing w:after="40"/>
      </w:pPr>
      <w:r>
        <w:t>Use HttpOnly, Secure and appropriate SameSite cookies; CSRF protection; strict CORS; short privileged sessions; MFA and fresh verification for sensitive actions.</w:t>
      </w:r>
    </w:p>
    <w:p>
      <w:pPr>
        <w:pStyle w:val="ListBullet"/>
        <w:spacing w:after="40"/>
      </w:pPr>
      <w:r>
        <w:t>Create two-principal negative tests and fail deployment when either principal can read or mutate the other merchant’s objects.</w:t>
      </w:r>
    </w:p>
    <w:p>
      <w:pPr>
        <w:pStyle w:val="Heading2"/>
      </w:pPr>
      <w:r>
        <w:t>2.4 MCP trust boundary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1944"/>
            <w:shd w:fill="123C66"/>
            <w:tcMar>
              <w:top w:w="80" w:type="dxa"/>
              <w:start w:w="100" w:type="dxa"/>
              <w:bottom w:w="80" w:type="dxa"/>
              <w:end w:w="100" w:type="dxa"/>
            </w:tcMar>
            <w:vAlign w:val="center"/>
          </w:tcPr>
          <w:p>
            <w:pPr>
              <w:keepLines/>
              <w:jc w:val="center"/>
            </w:pPr>
            <w:r>
              <w:rPr>
                <w:b/>
                <w:color w:val="FFFFFF"/>
                <w:sz w:val="16"/>
              </w:rPr>
              <w:t>Component</w:t>
            </w:r>
          </w:p>
        </w:tc>
        <w:tc>
          <w:tcPr>
            <w:tcW w:type="dxa" w:w="2232"/>
            <w:shd w:fill="123C66"/>
            <w:tcMar>
              <w:top w:w="80" w:type="dxa"/>
              <w:start w:w="100" w:type="dxa"/>
              <w:bottom w:w="80" w:type="dxa"/>
              <w:end w:w="100" w:type="dxa"/>
            </w:tcMar>
            <w:vAlign w:val="center"/>
          </w:tcPr>
          <w:p>
            <w:pPr>
              <w:keepLines/>
              <w:jc w:val="center"/>
            </w:pPr>
            <w:r>
              <w:rPr>
                <w:b/>
                <w:color w:val="FFFFFF"/>
                <w:sz w:val="16"/>
              </w:rPr>
              <w:t>Permitted role</w:t>
            </w:r>
          </w:p>
        </w:tc>
        <w:tc>
          <w:tcPr>
            <w:tcW w:type="dxa" w:w="5760"/>
            <w:shd w:fill="123C66"/>
            <w:tcMar>
              <w:top w:w="80" w:type="dxa"/>
              <w:start w:w="100" w:type="dxa"/>
              <w:bottom w:w="80" w:type="dxa"/>
              <w:end w:w="100" w:type="dxa"/>
            </w:tcMar>
            <w:vAlign w:val="center"/>
          </w:tcPr>
          <w:p>
            <w:pPr>
              <w:keepLines/>
              <w:jc w:val="center"/>
            </w:pPr>
            <w:r>
              <w:rPr>
                <w:b/>
                <w:color w:val="FFFFFF"/>
                <w:sz w:val="16"/>
              </w:rPr>
              <w:t>Mandatory controls</w:t>
            </w:r>
          </w:p>
        </w:tc>
      </w:tr>
      <w:tr>
        <w:trPr>
          <w:cantSplit/>
        </w:trPr>
        <w:tc>
          <w:tcPr>
            <w:tcW w:type="dxa" w:w="1944"/>
            <w:tcMar>
              <w:top w:w="80" w:type="dxa"/>
              <w:start w:w="100" w:type="dxa"/>
              <w:bottom w:w="80" w:type="dxa"/>
              <w:end w:w="100" w:type="dxa"/>
            </w:tcMar>
            <w:vAlign w:val="center"/>
          </w:tcPr>
          <w:p>
            <w:pPr>
              <w:keepLines/>
              <w:jc w:val="center"/>
            </w:pPr>
            <w:r>
              <w:rPr>
                <w:sz w:val="16"/>
              </w:rPr>
              <w:t>Read MCP service</w:t>
            </w:r>
          </w:p>
        </w:tc>
        <w:tc>
          <w:tcPr>
            <w:tcW w:type="dxa" w:w="2232"/>
            <w:tcMar>
              <w:top w:w="80" w:type="dxa"/>
              <w:start w:w="100" w:type="dxa"/>
              <w:bottom w:w="80" w:type="dxa"/>
              <w:end w:w="100" w:type="dxa"/>
            </w:tcMar>
            <w:vAlign w:val="center"/>
          </w:tcPr>
          <w:p>
            <w:pPr>
              <w:keepLines/>
            </w:pPr>
            <w:r>
              <w:rPr>
                <w:sz w:val="16"/>
              </w:rPr>
              <w:t>Search and bounded reporting</w:t>
            </w:r>
          </w:p>
        </w:tc>
        <w:tc>
          <w:tcPr>
            <w:tcW w:type="dxa" w:w="5760"/>
            <w:tcMar>
              <w:top w:w="80" w:type="dxa"/>
              <w:start w:w="100" w:type="dxa"/>
              <w:bottom w:w="80" w:type="dxa"/>
              <w:end w:w="100" w:type="dxa"/>
            </w:tcMar>
            <w:vAlign w:val="center"/>
          </w:tcPr>
          <w:p>
            <w:pPr>
              <w:keepLines/>
            </w:pPr>
            <w:r>
              <w:rPr>
                <w:sz w:val="16"/>
              </w:rPr>
              <w:t>Read-only credentials; merchant-bound filters; export and response-size limits; redaction; per-user and per-merchant quotas.</w:t>
            </w:r>
          </w:p>
        </w:tc>
      </w:tr>
      <w:tr>
        <w:trPr>
          <w:cantSplit/>
        </w:trPr>
        <w:tc>
          <w:tcPr>
            <w:tcW w:type="dxa" w:w="1944"/>
            <w:tcMar>
              <w:top w:w="80" w:type="dxa"/>
              <w:start w:w="100" w:type="dxa"/>
              <w:bottom w:w="80" w:type="dxa"/>
              <w:end w:w="100" w:type="dxa"/>
            </w:tcMar>
            <w:vAlign w:val="center"/>
            <w:shd w:fill="F5F7F9"/>
          </w:tcPr>
          <w:p>
            <w:pPr>
              <w:keepLines/>
              <w:jc w:val="center"/>
            </w:pPr>
            <w:r>
              <w:rPr>
                <w:sz w:val="16"/>
              </w:rPr>
              <w:t>Intent service</w:t>
            </w:r>
          </w:p>
        </w:tc>
        <w:tc>
          <w:tcPr>
            <w:tcW w:type="dxa" w:w="2232"/>
            <w:tcMar>
              <w:top w:w="80" w:type="dxa"/>
              <w:start w:w="100" w:type="dxa"/>
              <w:bottom w:w="80" w:type="dxa"/>
              <w:end w:w="100" w:type="dxa"/>
            </w:tcMar>
            <w:vAlign w:val="center"/>
            <w:shd w:fill="F5F7F9"/>
          </w:tcPr>
          <w:p>
            <w:pPr>
              <w:keepLines/>
            </w:pPr>
            <w:r>
              <w:rPr>
                <w:sz w:val="16"/>
              </w:rPr>
              <w:t>Creates pending instruction</w:t>
            </w:r>
          </w:p>
        </w:tc>
        <w:tc>
          <w:tcPr>
            <w:tcW w:type="dxa" w:w="5760"/>
            <w:tcMar>
              <w:top w:w="80" w:type="dxa"/>
              <w:start w:w="100" w:type="dxa"/>
              <w:bottom w:w="80" w:type="dxa"/>
              <w:end w:w="100" w:type="dxa"/>
            </w:tcMar>
            <w:vAlign w:val="center"/>
            <w:shd w:fill="F5F7F9"/>
          </w:tcPr>
          <w:p>
            <w:pPr>
              <w:keepLines/>
            </w:pPr>
            <w:r>
              <w:rPr>
                <w:sz w:val="16"/>
              </w:rPr>
              <w:t>Validates tool schema and policy; creates immutable intent digest; cannot execute payment.</w:t>
            </w:r>
          </w:p>
        </w:tc>
      </w:tr>
      <w:tr>
        <w:trPr>
          <w:cantSplit/>
        </w:trPr>
        <w:tc>
          <w:tcPr>
            <w:tcW w:type="dxa" w:w="1944"/>
            <w:tcMar>
              <w:top w:w="80" w:type="dxa"/>
              <w:start w:w="100" w:type="dxa"/>
              <w:bottom w:w="80" w:type="dxa"/>
              <w:end w:w="100" w:type="dxa"/>
            </w:tcMar>
            <w:vAlign w:val="center"/>
          </w:tcPr>
          <w:p>
            <w:pPr>
              <w:keepLines/>
              <w:jc w:val="center"/>
            </w:pPr>
            <w:r>
              <w:rPr>
                <w:sz w:val="16"/>
              </w:rPr>
              <w:t>Approval service</w:t>
            </w:r>
          </w:p>
        </w:tc>
        <w:tc>
          <w:tcPr>
            <w:tcW w:type="dxa" w:w="2232"/>
            <w:tcMar>
              <w:top w:w="80" w:type="dxa"/>
              <w:start w:w="100" w:type="dxa"/>
              <w:bottom w:w="80" w:type="dxa"/>
              <w:end w:w="100" w:type="dxa"/>
            </w:tcMar>
            <w:vAlign w:val="center"/>
          </w:tcPr>
          <w:p>
            <w:pPr>
              <w:keepLines/>
            </w:pPr>
            <w:r>
              <w:rPr>
                <w:sz w:val="16"/>
              </w:rPr>
              <w:t>Human confirmation</w:t>
            </w:r>
          </w:p>
        </w:tc>
        <w:tc>
          <w:tcPr>
            <w:tcW w:type="dxa" w:w="5760"/>
            <w:tcMar>
              <w:top w:w="80" w:type="dxa"/>
              <w:start w:w="100" w:type="dxa"/>
              <w:bottom w:w="80" w:type="dxa"/>
              <w:end w:w="100" w:type="dxa"/>
            </w:tcMar>
            <w:vAlign w:val="center"/>
          </w:tcPr>
          <w:p>
            <w:pPr>
              <w:keepLines/>
            </w:pPr>
            <w:r>
              <w:rPr>
                <w:sz w:val="16"/>
              </w:rPr>
              <w:t>Strong authenticated session; displays exact amount, currency and destination; signs short-lived Ed25519 token after confirmation.</w:t>
            </w:r>
          </w:p>
        </w:tc>
      </w:tr>
      <w:tr>
        <w:trPr>
          <w:cantSplit/>
        </w:trPr>
        <w:tc>
          <w:tcPr>
            <w:tcW w:type="dxa" w:w="1944"/>
            <w:tcMar>
              <w:top w:w="80" w:type="dxa"/>
              <w:start w:w="100" w:type="dxa"/>
              <w:bottom w:w="80" w:type="dxa"/>
              <w:end w:w="100" w:type="dxa"/>
            </w:tcMar>
            <w:vAlign w:val="center"/>
            <w:shd w:fill="F5F7F9"/>
          </w:tcPr>
          <w:p>
            <w:pPr>
              <w:keepLines/>
              <w:jc w:val="center"/>
            </w:pPr>
            <w:r>
              <w:rPr>
                <w:sz w:val="16"/>
              </w:rPr>
              <w:t>Write MCP service</w:t>
            </w:r>
          </w:p>
        </w:tc>
        <w:tc>
          <w:tcPr>
            <w:tcW w:type="dxa" w:w="2232"/>
            <w:tcMar>
              <w:top w:w="80" w:type="dxa"/>
              <w:start w:w="100" w:type="dxa"/>
              <w:bottom w:w="80" w:type="dxa"/>
              <w:end w:w="100" w:type="dxa"/>
            </w:tcMar>
            <w:vAlign w:val="center"/>
            <w:shd w:fill="F5F7F9"/>
          </w:tcPr>
          <w:p>
            <w:pPr>
              <w:keepLines/>
            </w:pPr>
            <w:r>
              <w:rPr>
                <w:sz w:val="16"/>
              </w:rPr>
              <w:t>Executes approved instruction</w:t>
            </w:r>
          </w:p>
        </w:tc>
        <w:tc>
          <w:tcPr>
            <w:tcW w:type="dxa" w:w="5760"/>
            <w:tcMar>
              <w:top w:w="80" w:type="dxa"/>
              <w:start w:w="100" w:type="dxa"/>
              <w:bottom w:w="80" w:type="dxa"/>
              <w:end w:w="100" w:type="dxa"/>
            </w:tcMar>
            <w:vAlign w:val="center"/>
            <w:shd w:fill="F5F7F9"/>
          </w:tcPr>
          <w:p>
            <w:pPr>
              <w:keepLines/>
            </w:pPr>
            <w:r>
              <w:rPr>
                <w:sz w:val="16"/>
              </w:rPr>
              <w:t>Separate identity and deployment; validates signature, issuer, audience, intent digest, policy, expiry and nonce; consumes nonce atomically.</w:t>
            </w:r>
          </w:p>
        </w:tc>
      </w:tr>
      <w:tr>
        <w:trPr>
          <w:cantSplit/>
        </w:trPr>
        <w:tc>
          <w:tcPr>
            <w:tcW w:type="dxa" w:w="1944"/>
            <w:tcMar>
              <w:top w:w="80" w:type="dxa"/>
              <w:start w:w="100" w:type="dxa"/>
              <w:bottom w:w="80" w:type="dxa"/>
              <w:end w:w="100" w:type="dxa"/>
            </w:tcMar>
            <w:vAlign w:val="center"/>
          </w:tcPr>
          <w:p>
            <w:pPr>
              <w:keepLines/>
              <w:jc w:val="center"/>
            </w:pPr>
            <w:r>
              <w:rPr>
                <w:sz w:val="16"/>
              </w:rPr>
              <w:t>Payment backend</w:t>
            </w:r>
          </w:p>
        </w:tc>
        <w:tc>
          <w:tcPr>
            <w:tcW w:type="dxa" w:w="2232"/>
            <w:tcMar>
              <w:top w:w="80" w:type="dxa"/>
              <w:start w:w="100" w:type="dxa"/>
              <w:bottom w:w="80" w:type="dxa"/>
              <w:end w:w="100" w:type="dxa"/>
            </w:tcMar>
            <w:vAlign w:val="center"/>
          </w:tcPr>
          <w:p>
            <w:pPr>
              <w:keepLines/>
            </w:pPr>
            <w:r>
              <w:rPr>
                <w:sz w:val="16"/>
              </w:rPr>
              <w:t>System of record</w:t>
            </w:r>
          </w:p>
        </w:tc>
        <w:tc>
          <w:tcPr>
            <w:tcW w:type="dxa" w:w="5760"/>
            <w:tcMar>
              <w:top w:w="80" w:type="dxa"/>
              <w:start w:w="100" w:type="dxa"/>
              <w:bottom w:w="80" w:type="dxa"/>
              <w:end w:w="100" w:type="dxa"/>
            </w:tcMar>
            <w:vAlign w:val="center"/>
          </w:tcPr>
          <w:p>
            <w:pPr>
              <w:keepLines/>
            </w:pPr>
            <w:r>
              <w:rPr>
                <w:sz w:val="16"/>
              </w:rPr>
              <w:t>Repeats all merchant, agreement, amount, idempotency and risk checks; never trusts the model or MCP alone.</w:t>
            </w:r>
          </w:p>
        </w:tc>
      </w:tr>
    </w:tbl>
    <w:p>
      <w:pPr>
        <w:spacing w:after="20"/>
      </w:pPr>
    </w:p>
    <w:p>
      <w:r>
        <w:rPr>
          <w:b/>
        </w:rPr>
        <w:t>Nonce implementation</w:t>
      </w:r>
      <w:r/>
    </w:p>
    <w:p>
      <w:r>
        <w:t>Prefer an existing transactional database table with a unique nonce or token identifier and an atomic UPDATE or INSERT state transition from unused to consumed. This removes the need for Redis and ensures nonce consumption can be committed with the payment instruction. Add Redis only if architecture or measured scale requires an independent distributed store.</w:t>
      </w:r>
    </w:p>
    <w:p>
      <w:pPr>
        <w:pStyle w:val="Heading2"/>
      </w:pPr>
      <w:r>
        <w:t>2.5 Ingress egress and webhook safety</w:t>
      </w:r>
    </w:p>
    <w:p>
      <w:pPr>
        <w:pStyle w:val="ListBullet"/>
        <w:spacing w:after="40"/>
      </w:pPr>
      <w:r>
        <w:t>Proxy all public website, dashboard, API and MCP traffic through Cloudflare. Verify origin addresses and provider hostnames cannot bypass Cloudflare. Use Authenticated Origin Pulls where the origin supports it; otherwise use origin firewall or platform ingress restrictions.</w:t>
      </w:r>
    </w:p>
    <w:p>
      <w:pPr>
        <w:pStyle w:val="ListBullet"/>
        <w:spacing w:after="40"/>
      </w:pPr>
      <w:r>
        <w:t>Upload the authoritative OpenAPI document to API Shield. Run in Log mode, reconcile discovered endpoints, correct schemas and then block violations by environment and route.</w:t>
      </w:r>
    </w:p>
    <w:p>
      <w:pPr>
        <w:pStyle w:val="ListBullet"/>
        <w:spacing w:after="40"/>
      </w:pPr>
      <w:r>
        <w:t>For registered webhook destinations, require HTTPS and an approved port. Parse with a standards-compliant URL parser; disallow embedded credentials and ambiguous host forms.</w:t>
      </w:r>
    </w:p>
    <w:p>
      <w:pPr>
        <w:pStyle w:val="ListBullet"/>
        <w:spacing w:after="40"/>
      </w:pPr>
      <w:r>
        <w:t>At every connection and redirect, resolve all A and AAAA results and reject any non-public, loopback, link-local, multicast, documentation, benchmark, carrier-grade NAT or cloud-metadata destination. Verify the connected peer address is approved while retaining TLS hostname validation.</w:t>
      </w:r>
    </w:p>
    <w:p>
      <w:pPr>
        <w:pStyle w:val="ListBullet"/>
        <w:spacing w:after="40"/>
      </w:pPr>
      <w:r>
        <w:t>Place webhook and MCP workloads behind restrictive network egress policies. Permit only provider APIs, approved merchant webhook destinations through the hardened dispatcher, DNS and required observability endpoints.</w:t>
      </w:r>
    </w:p>
    <w:p>
      <w:pPr>
        <w:pStyle w:val="Heading2"/>
      </w:pPr>
      <w:r>
        <w:t>2.6 Sensitive data and evidence</w:t>
      </w:r>
    </w:p>
    <w:p>
      <w:pPr>
        <w:pStyle w:val="ListBullet"/>
        <w:spacing w:after="40"/>
      </w:pPr>
      <w:r>
        <w:t>Create a data inventory for BSB, account number, PayID, email, phone, identity records, API credentials and payment references. Mark system of record, purpose, readers and retention.</w:t>
      </w:r>
    </w:p>
    <w:p>
      <w:pPr>
        <w:pStyle w:val="ListBullet"/>
        <w:spacing w:after="40"/>
      </w:pPr>
      <w:r>
        <w:t>Do not store full banking identifiers when provider tokens or masked values meet the requirement. Encrypt retained values with envelope encryption and separate application access from key administration.</w:t>
      </w:r>
    </w:p>
    <w:p>
      <w:pPr>
        <w:pStyle w:val="ListBullet"/>
        <w:spacing w:after="40"/>
      </w:pPr>
      <w:r>
        <w:t>Redact application and security logs. Do not place payment credentials, full banking data, session tokens or approval tokens in analytics, error payloads or traces.</w:t>
      </w:r>
    </w:p>
    <w:p>
      <w:pPr>
        <w:pStyle w:val="ListBullet"/>
        <w:spacing w:after="40"/>
      </w:pPr>
      <w:r>
        <w:t>Write the payment mutation and audit_outbox event in the same database transaction. Export immutable event envelopes to a separately administered retention-locked Cloud Storage bucket.</w:t>
      </w:r>
    </w:p>
    <w:p>
      <w:pPr>
        <w:pStyle w:val="ListBullet"/>
        <w:spacing w:after="40"/>
      </w:pPr>
      <w:r>
        <w:t>Document APP 11 controls and breach-response ownership. Treat CPS 234 as directly applicable only if ShaBaas Pay becomes an APRA-regulated entity; otherwise capture upstream contractual requirements separately.</w:t>
      </w:r>
    </w:p>
    <w:p>
      <w:pPr>
        <w:pStyle w:val="Heading1"/>
      </w:pPr>
      <w:r>
        <w:t>3 Release gates and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1944"/>
            <w:shd w:fill="123C66"/>
            <w:tcMar>
              <w:top w:w="80" w:type="dxa"/>
              <w:start w:w="100" w:type="dxa"/>
              <w:bottom w:w="80" w:type="dxa"/>
              <w:end w:w="100" w:type="dxa"/>
            </w:tcMar>
            <w:vAlign w:val="center"/>
          </w:tcPr>
          <w:p>
            <w:pPr>
              <w:keepLines/>
              <w:jc w:val="center"/>
            </w:pPr>
            <w:r>
              <w:rPr>
                <w:b/>
                <w:color w:val="FFFFFF"/>
                <w:sz w:val="15"/>
              </w:rPr>
              <w:t>Release gate</w:t>
            </w:r>
          </w:p>
        </w:tc>
        <w:tc>
          <w:tcPr>
            <w:tcW w:type="dxa" w:w="6408"/>
            <w:shd w:fill="123C66"/>
            <w:tcMar>
              <w:top w:w="80" w:type="dxa"/>
              <w:start w:w="100" w:type="dxa"/>
              <w:bottom w:w="80" w:type="dxa"/>
              <w:end w:w="100" w:type="dxa"/>
            </w:tcMar>
            <w:vAlign w:val="center"/>
          </w:tcPr>
          <w:p>
            <w:pPr>
              <w:keepLines/>
              <w:jc w:val="center"/>
            </w:pPr>
            <w:r>
              <w:rPr>
                <w:b/>
                <w:color w:val="FFFFFF"/>
                <w:sz w:val="15"/>
              </w:rPr>
              <w:t>Pass condition</w:t>
            </w:r>
          </w:p>
        </w:tc>
        <w:tc>
          <w:tcPr>
            <w:tcW w:type="dxa" w:w="1584"/>
            <w:shd w:fill="123C66"/>
            <w:tcMar>
              <w:top w:w="80" w:type="dxa"/>
              <w:start w:w="100" w:type="dxa"/>
              <w:bottom w:w="80" w:type="dxa"/>
              <w:end w:w="100" w:type="dxa"/>
            </w:tcMar>
            <w:vAlign w:val="center"/>
          </w:tcPr>
          <w:p>
            <w:pPr>
              <w:keepLines/>
              <w:jc w:val="center"/>
            </w:pPr>
            <w:r>
              <w:rPr>
                <w:b/>
                <w:color w:val="FFFFFF"/>
                <w:sz w:val="15"/>
              </w:rPr>
              <w:t>Owner</w:t>
            </w:r>
          </w:p>
        </w:tc>
      </w:tr>
      <w:tr>
        <w:trPr>
          <w:cantSplit/>
        </w:trPr>
        <w:tc>
          <w:tcPr>
            <w:tcW w:type="dxa" w:w="1944"/>
            <w:tcMar>
              <w:top w:w="80" w:type="dxa"/>
              <w:start w:w="100" w:type="dxa"/>
              <w:bottom w:w="80" w:type="dxa"/>
              <w:end w:w="100" w:type="dxa"/>
            </w:tcMar>
            <w:vAlign w:val="center"/>
          </w:tcPr>
          <w:p>
            <w:pPr>
              <w:keepLines/>
              <w:jc w:val="center"/>
            </w:pPr>
            <w:r>
              <w:rPr>
                <w:sz w:val="15"/>
              </w:rPr>
              <w:t>Production API</w:t>
            </w:r>
          </w:p>
        </w:tc>
        <w:tc>
          <w:tcPr>
            <w:tcW w:type="dxa" w:w="6408"/>
            <w:tcMar>
              <w:top w:w="80" w:type="dxa"/>
              <w:start w:w="100" w:type="dxa"/>
              <w:bottom w:w="80" w:type="dxa"/>
              <w:end w:w="100" w:type="dxa"/>
            </w:tcMar>
            <w:vAlign w:val="center"/>
          </w:tcPr>
          <w:p>
            <w:pPr>
              <w:keepLines/>
            </w:pPr>
            <w:r>
              <w:rPr>
                <w:sz w:val="15"/>
              </w:rPr>
              <w:t>Cloudflare path confirmed; origin bypass blocked; schemas observed; tenant negative tests pass; secrets and dependencies clear at accepted severity.</w:t>
            </w:r>
          </w:p>
        </w:tc>
        <w:tc>
          <w:tcPr>
            <w:tcW w:type="dxa" w:w="1584"/>
            <w:tcMar>
              <w:top w:w="80" w:type="dxa"/>
              <w:start w:w="100" w:type="dxa"/>
              <w:bottom w:w="80" w:type="dxa"/>
              <w:end w:w="100" w:type="dxa"/>
            </w:tcMar>
            <w:vAlign w:val="center"/>
          </w:tcPr>
          <w:p>
            <w:pPr>
              <w:keepLines/>
            </w:pPr>
            <w:r>
              <w:rPr>
                <w:sz w:val="15"/>
              </w:rPr>
              <w:t>Engineering lead</w:t>
            </w:r>
          </w:p>
        </w:tc>
      </w:tr>
      <w:tr>
        <w:trPr>
          <w:cantSplit/>
        </w:trPr>
        <w:tc>
          <w:tcPr>
            <w:tcW w:type="dxa" w:w="1944"/>
            <w:tcMar>
              <w:top w:w="80" w:type="dxa"/>
              <w:start w:w="100" w:type="dxa"/>
              <w:bottom w:w="80" w:type="dxa"/>
              <w:end w:w="100" w:type="dxa"/>
            </w:tcMar>
            <w:vAlign w:val="center"/>
            <w:shd w:fill="F5F7F9"/>
          </w:tcPr>
          <w:p>
            <w:pPr>
              <w:keepLines/>
              <w:jc w:val="center"/>
            </w:pPr>
            <w:r>
              <w:rPr>
                <w:sz w:val="15"/>
              </w:rPr>
              <w:t>Settlement editing</w:t>
            </w:r>
          </w:p>
        </w:tc>
        <w:tc>
          <w:tcPr>
            <w:tcW w:type="dxa" w:w="6408"/>
            <w:tcMar>
              <w:top w:w="80" w:type="dxa"/>
              <w:start w:w="100" w:type="dxa"/>
              <w:bottom w:w="80" w:type="dxa"/>
              <w:end w:w="100" w:type="dxa"/>
            </w:tcMar>
            <w:vAlign w:val="center"/>
            <w:shd w:fill="F5F7F9"/>
          </w:tcPr>
          <w:p>
            <w:pPr>
              <w:keepLines/>
            </w:pPr>
            <w:r>
              <w:rPr>
                <w:sz w:val="15"/>
              </w:rPr>
              <w:t>Dual approval, trusted-channel notification, delay, freeze, immutable routing versions and audit export demonstrated.</w:t>
            </w:r>
          </w:p>
        </w:tc>
        <w:tc>
          <w:tcPr>
            <w:tcW w:type="dxa" w:w="1584"/>
            <w:tcMar>
              <w:top w:w="80" w:type="dxa"/>
              <w:start w:w="100" w:type="dxa"/>
              <w:bottom w:w="80" w:type="dxa"/>
              <w:end w:w="100" w:type="dxa"/>
            </w:tcMar>
            <w:vAlign w:val="center"/>
            <w:shd w:fill="F5F7F9"/>
          </w:tcPr>
          <w:p>
            <w:pPr>
              <w:keepLines/>
            </w:pPr>
            <w:r>
              <w:rPr>
                <w:sz w:val="15"/>
              </w:rPr>
              <w:t>Operations and security</w:t>
            </w:r>
          </w:p>
        </w:tc>
      </w:tr>
      <w:tr>
        <w:trPr>
          <w:cantSplit/>
        </w:trPr>
        <w:tc>
          <w:tcPr>
            <w:tcW w:type="dxa" w:w="1944"/>
            <w:tcMar>
              <w:top w:w="80" w:type="dxa"/>
              <w:start w:w="100" w:type="dxa"/>
              <w:bottom w:w="80" w:type="dxa"/>
              <w:end w:w="100" w:type="dxa"/>
            </w:tcMar>
            <w:vAlign w:val="center"/>
          </w:tcPr>
          <w:p>
            <w:pPr>
              <w:keepLines/>
              <w:jc w:val="center"/>
            </w:pPr>
            <w:r>
              <w:rPr>
                <w:sz w:val="15"/>
              </w:rPr>
              <w:t>Read-only MCP</w:t>
            </w:r>
          </w:p>
        </w:tc>
        <w:tc>
          <w:tcPr>
            <w:tcW w:type="dxa" w:w="6408"/>
            <w:tcMar>
              <w:top w:w="80" w:type="dxa"/>
              <w:start w:w="100" w:type="dxa"/>
              <w:bottom w:w="80" w:type="dxa"/>
              <w:end w:w="100" w:type="dxa"/>
            </w:tcMar>
            <w:vAlign w:val="center"/>
          </w:tcPr>
          <w:p>
            <w:pPr>
              <w:keepLines/>
            </w:pPr>
            <w:r>
              <w:rPr>
                <w:sz w:val="15"/>
              </w:rPr>
              <w:t>Authentication verified; merchant filters, output limits, redaction, rate limits and egress restrictions tested.</w:t>
            </w:r>
          </w:p>
        </w:tc>
        <w:tc>
          <w:tcPr>
            <w:tcW w:type="dxa" w:w="1584"/>
            <w:tcMar>
              <w:top w:w="80" w:type="dxa"/>
              <w:start w:w="100" w:type="dxa"/>
              <w:bottom w:w="80" w:type="dxa"/>
              <w:end w:w="100" w:type="dxa"/>
            </w:tcMar>
            <w:vAlign w:val="center"/>
          </w:tcPr>
          <w:p>
            <w:pPr>
              <w:keepLines/>
            </w:pPr>
            <w:r>
              <w:rPr>
                <w:sz w:val="15"/>
              </w:rPr>
              <w:t>MCP owner</w:t>
            </w:r>
          </w:p>
        </w:tc>
      </w:tr>
      <w:tr>
        <w:trPr>
          <w:cantSplit/>
        </w:trPr>
        <w:tc>
          <w:tcPr>
            <w:tcW w:type="dxa" w:w="1944"/>
            <w:tcMar>
              <w:top w:w="80" w:type="dxa"/>
              <w:start w:w="100" w:type="dxa"/>
              <w:bottom w:w="80" w:type="dxa"/>
              <w:end w:w="100" w:type="dxa"/>
            </w:tcMar>
            <w:vAlign w:val="center"/>
            <w:shd w:fill="F5F7F9"/>
          </w:tcPr>
          <w:p>
            <w:pPr>
              <w:keepLines/>
              <w:jc w:val="center"/>
            </w:pPr>
            <w:r>
              <w:rPr>
                <w:sz w:val="15"/>
              </w:rPr>
              <w:t>Write-capable MCP</w:t>
            </w:r>
          </w:p>
        </w:tc>
        <w:tc>
          <w:tcPr>
            <w:tcW w:type="dxa" w:w="6408"/>
            <w:tcMar>
              <w:top w:w="80" w:type="dxa"/>
              <w:start w:w="100" w:type="dxa"/>
              <w:bottom w:w="80" w:type="dxa"/>
              <w:end w:w="100" w:type="dxa"/>
            </w:tcMar>
            <w:vAlign w:val="center"/>
            <w:shd w:fill="F5F7F9"/>
          </w:tcPr>
          <w:p>
            <w:pPr>
              <w:keepLines/>
            </w:pPr>
            <w:r>
              <w:rPr>
                <w:sz w:val="15"/>
              </w:rPr>
              <w:t>Separate service identity; external approval; exact-intent binding; atomic nonce and idempotency; payment backend rechecks; kill switch tested.</w:t>
            </w:r>
          </w:p>
        </w:tc>
        <w:tc>
          <w:tcPr>
            <w:tcW w:type="dxa" w:w="1584"/>
            <w:tcMar>
              <w:top w:w="80" w:type="dxa"/>
              <w:start w:w="100" w:type="dxa"/>
              <w:bottom w:w="80" w:type="dxa"/>
              <w:end w:w="100" w:type="dxa"/>
            </w:tcMar>
            <w:vAlign w:val="center"/>
            <w:shd w:fill="F5F7F9"/>
          </w:tcPr>
          <w:p>
            <w:pPr>
              <w:keepLines/>
            </w:pPr>
            <w:r>
              <w:rPr>
                <w:sz w:val="15"/>
              </w:rPr>
              <w:t>Security plus payments owner</w:t>
            </w:r>
          </w:p>
        </w:tc>
      </w:tr>
      <w:tr>
        <w:trPr>
          <w:cantSplit/>
        </w:trPr>
        <w:tc>
          <w:tcPr>
            <w:tcW w:type="dxa" w:w="1944"/>
            <w:tcMar>
              <w:top w:w="80" w:type="dxa"/>
              <w:start w:w="100" w:type="dxa"/>
              <w:bottom w:w="80" w:type="dxa"/>
              <w:end w:w="100" w:type="dxa"/>
            </w:tcMar>
            <w:vAlign w:val="center"/>
          </w:tcPr>
          <w:p>
            <w:pPr>
              <w:keepLines/>
              <w:jc w:val="center"/>
            </w:pPr>
            <w:r>
              <w:rPr>
                <w:sz w:val="15"/>
              </w:rPr>
              <w:t>Incident readiness</w:t>
            </w:r>
          </w:p>
        </w:tc>
        <w:tc>
          <w:tcPr>
            <w:tcW w:type="dxa" w:w="6408"/>
            <w:tcMar>
              <w:top w:w="80" w:type="dxa"/>
              <w:start w:w="100" w:type="dxa"/>
              <w:bottom w:w="80" w:type="dxa"/>
              <w:end w:w="100" w:type="dxa"/>
            </w:tcMar>
            <w:vAlign w:val="center"/>
          </w:tcPr>
          <w:p>
            <w:pPr>
              <w:keepLines/>
            </w:pPr>
            <w:r>
              <w:rPr>
                <w:sz w:val="15"/>
              </w:rPr>
              <w:t>Named responders can revoke credentials, pause one merchant or rail, preserve evidence, reconcile in-flight payments and restore service.</w:t>
            </w:r>
          </w:p>
        </w:tc>
        <w:tc>
          <w:tcPr>
            <w:tcW w:type="dxa" w:w="1584"/>
            <w:tcMar>
              <w:top w:w="80" w:type="dxa"/>
              <w:start w:w="100" w:type="dxa"/>
              <w:bottom w:w="80" w:type="dxa"/>
              <w:end w:w="100" w:type="dxa"/>
            </w:tcMar>
            <w:vAlign w:val="center"/>
          </w:tcPr>
          <w:p>
            <w:pPr>
              <w:keepLines/>
            </w:pPr>
            <w:r>
              <w:rPr>
                <w:sz w:val="15"/>
              </w:rPr>
              <w:t>COO and engineering</w:t>
            </w:r>
          </w:p>
        </w:tc>
      </w:tr>
    </w:tbl>
    <w:p>
      <w:pPr>
        <w:spacing w:after="20"/>
      </w:pPr>
    </w:p>
    <w:p>
      <w:r>
        <w:br w:type="page"/>
      </w:r>
    </w:p>
    <w:p>
      <w:pPr>
        <w:pStyle w:val="Heading1"/>
      </w:pPr>
      <w:r>
        <w:t>4 Providers and setup decisions</w:t>
      </w:r>
    </w:p>
    <w:p>
      <w:r>
        <w:t>Use the existing providers where they already fit the architecture. Do not introduce Akto, Redis, AWS S3 or another WAF during the initial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rPr>
        <w:tc>
          <w:tcPr>
            <w:tcW w:type="dxa" w:w="2520"/>
            <w:shd w:fill="123C66"/>
            <w:tcMar>
              <w:top w:w="80" w:type="dxa"/>
              <w:start w:w="100" w:type="dxa"/>
              <w:bottom w:w="80" w:type="dxa"/>
              <w:end w:w="100" w:type="dxa"/>
            </w:tcMar>
            <w:vAlign w:val="center"/>
          </w:tcPr>
          <w:p>
            <w:pPr>
              <w:keepLines/>
              <w:jc w:val="center"/>
            </w:pPr>
            <w:r>
              <w:rPr>
                <w:b/>
                <w:color w:val="FFFFFF"/>
                <w:sz w:val="15"/>
              </w:rPr>
              <w:t>Provider or tool</w:t>
            </w:r>
          </w:p>
        </w:tc>
        <w:tc>
          <w:tcPr>
            <w:tcW w:type="dxa" w:w="1872"/>
            <w:shd w:fill="123C66"/>
            <w:tcMar>
              <w:top w:w="80" w:type="dxa"/>
              <w:start w:w="100" w:type="dxa"/>
              <w:bottom w:w="80" w:type="dxa"/>
              <w:end w:w="100" w:type="dxa"/>
            </w:tcMar>
            <w:vAlign w:val="center"/>
          </w:tcPr>
          <w:p>
            <w:pPr>
              <w:keepLines/>
              <w:jc w:val="center"/>
            </w:pPr>
            <w:r>
              <w:rPr>
                <w:b/>
                <w:color w:val="FFFFFF"/>
                <w:sz w:val="15"/>
              </w:rPr>
              <w:t>Decision</w:t>
            </w:r>
          </w:p>
        </w:tc>
        <w:tc>
          <w:tcPr>
            <w:tcW w:type="dxa" w:w="5544"/>
            <w:shd w:fill="123C66"/>
            <w:tcMar>
              <w:top w:w="80" w:type="dxa"/>
              <w:start w:w="100" w:type="dxa"/>
              <w:bottom w:w="80" w:type="dxa"/>
              <w:end w:w="100" w:type="dxa"/>
            </w:tcMar>
            <w:vAlign w:val="center"/>
          </w:tcPr>
          <w:p>
            <w:pPr>
              <w:keepLines/>
              <w:jc w:val="center"/>
            </w:pPr>
            <w:r>
              <w:rPr>
                <w:b/>
                <w:color w:val="FFFFFF"/>
                <w:sz w:val="15"/>
              </w:rPr>
              <w:t>Use</w:t>
            </w:r>
          </w:p>
        </w:tc>
      </w:tr>
      <w:tr>
        <w:trPr>
          <w:cantSplit/>
        </w:trPr>
        <w:tc>
          <w:tcPr>
            <w:tcW w:type="dxa" w:w="2520"/>
            <w:tcMar>
              <w:top w:w="80" w:type="dxa"/>
              <w:start w:w="100" w:type="dxa"/>
              <w:bottom w:w="80" w:type="dxa"/>
              <w:end w:w="100" w:type="dxa"/>
            </w:tcMar>
            <w:vAlign w:val="center"/>
          </w:tcPr>
          <w:p>
            <w:pPr>
              <w:keepLines/>
              <w:jc w:val="center"/>
            </w:pPr>
            <w:r>
              <w:rPr>
                <w:sz w:val="15"/>
              </w:rPr>
              <w:t>Cloudflare Enterprise</w:t>
            </w:r>
          </w:p>
        </w:tc>
        <w:tc>
          <w:tcPr>
            <w:tcW w:type="dxa" w:w="1872"/>
            <w:tcMar>
              <w:top w:w="80" w:type="dxa"/>
              <w:start w:w="100" w:type="dxa"/>
              <w:bottom w:w="80" w:type="dxa"/>
              <w:end w:w="100" w:type="dxa"/>
            </w:tcMar>
            <w:vAlign w:val="center"/>
          </w:tcPr>
          <w:p>
            <w:pPr>
              <w:keepLines/>
            </w:pPr>
            <w:r>
              <w:rPr>
                <w:sz w:val="15"/>
              </w:rPr>
              <w:t>Required existing provider</w:t>
            </w:r>
          </w:p>
        </w:tc>
        <w:tc>
          <w:tcPr>
            <w:tcW w:type="dxa" w:w="5544"/>
            <w:tcMar>
              <w:top w:w="80" w:type="dxa"/>
              <w:start w:w="100" w:type="dxa"/>
              <w:bottom w:w="80" w:type="dxa"/>
              <w:end w:w="100" w:type="dxa"/>
            </w:tcMar>
            <w:vAlign w:val="center"/>
          </w:tcPr>
          <w:p>
            <w:pPr>
              <w:keepLines/>
            </w:pPr>
            <w:r>
              <w:rPr>
                <w:sz w:val="15"/>
              </w:rPr>
              <w:t>WAF, DDoS protection, rate limits, bot controls where appropriate, API Shield schema validation, origin protection, security events and logs. Confirm API Security and Authenticated Origin Pulls entitlements.</w:t>
            </w:r>
          </w:p>
        </w:tc>
      </w:tr>
      <w:tr>
        <w:trPr>
          <w:cantSplit/>
        </w:trPr>
        <w:tc>
          <w:tcPr>
            <w:tcW w:type="dxa" w:w="2520"/>
            <w:tcMar>
              <w:top w:w="80" w:type="dxa"/>
              <w:start w:w="100" w:type="dxa"/>
              <w:bottom w:w="80" w:type="dxa"/>
              <w:end w:w="100" w:type="dxa"/>
            </w:tcMar>
            <w:vAlign w:val="center"/>
            <w:shd w:fill="F5F7F9"/>
          </w:tcPr>
          <w:p>
            <w:pPr>
              <w:keepLines/>
              <w:jc w:val="center"/>
            </w:pPr>
            <w:r>
              <w:rPr>
                <w:sz w:val="15"/>
              </w:rPr>
              <w:t>GitHub</w:t>
            </w:r>
          </w:p>
        </w:tc>
        <w:tc>
          <w:tcPr>
            <w:tcW w:type="dxa" w:w="1872"/>
            <w:tcMar>
              <w:top w:w="80" w:type="dxa"/>
              <w:start w:w="100" w:type="dxa"/>
              <w:bottom w:w="80" w:type="dxa"/>
              <w:end w:w="100" w:type="dxa"/>
            </w:tcMar>
            <w:vAlign w:val="center"/>
            <w:shd w:fill="F5F7F9"/>
          </w:tcPr>
          <w:p>
            <w:pPr>
              <w:keepLines/>
            </w:pPr>
            <w:r>
              <w:rPr>
                <w:sz w:val="15"/>
              </w:rPr>
              <w:t>Required existing provider</w:t>
            </w:r>
          </w:p>
        </w:tc>
        <w:tc>
          <w:tcPr>
            <w:tcW w:type="dxa" w:w="5544"/>
            <w:tcMar>
              <w:top w:w="80" w:type="dxa"/>
              <w:start w:w="100" w:type="dxa"/>
              <w:bottom w:w="80" w:type="dxa"/>
              <w:end w:w="100" w:type="dxa"/>
            </w:tcMar>
            <w:vAlign w:val="center"/>
            <w:shd w:fill="F5F7F9"/>
          </w:tcPr>
          <w:p>
            <w:pPr>
              <w:keepLines/>
            </w:pPr>
            <w:r>
              <w:rPr>
                <w:sz w:val="15"/>
              </w:rPr>
              <w:t>Repository governance, protected branches or rulesets, Actions, Dependabot, code ownership and OIDC-based deployment.</w:t>
            </w:r>
          </w:p>
        </w:tc>
      </w:tr>
      <w:tr>
        <w:trPr>
          <w:cantSplit/>
        </w:trPr>
        <w:tc>
          <w:tcPr>
            <w:tcW w:type="dxa" w:w="2520"/>
            <w:tcMar>
              <w:top w:w="80" w:type="dxa"/>
              <w:start w:w="100" w:type="dxa"/>
              <w:bottom w:w="80" w:type="dxa"/>
              <w:end w:w="100" w:type="dxa"/>
            </w:tcMar>
            <w:vAlign w:val="center"/>
          </w:tcPr>
          <w:p>
            <w:pPr>
              <w:keepLines/>
              <w:jc w:val="center"/>
            </w:pPr>
            <w:r>
              <w:rPr>
                <w:sz w:val="15"/>
              </w:rPr>
              <w:t>Semgrep OSS</w:t>
            </w:r>
          </w:p>
        </w:tc>
        <w:tc>
          <w:tcPr>
            <w:tcW w:type="dxa" w:w="1872"/>
            <w:tcMar>
              <w:top w:w="80" w:type="dxa"/>
              <w:start w:w="100" w:type="dxa"/>
              <w:bottom w:w="80" w:type="dxa"/>
              <w:end w:w="100" w:type="dxa"/>
            </w:tcMar>
            <w:vAlign w:val="center"/>
          </w:tcPr>
          <w:p>
            <w:pPr>
              <w:keepLines/>
            </w:pPr>
            <w:r>
              <w:rPr>
                <w:sz w:val="15"/>
              </w:rPr>
              <w:t>Required baseline</w:t>
            </w:r>
          </w:p>
        </w:tc>
        <w:tc>
          <w:tcPr>
            <w:tcW w:type="dxa" w:w="5544"/>
            <w:tcMar>
              <w:top w:w="80" w:type="dxa"/>
              <w:start w:w="100" w:type="dxa"/>
              <w:bottom w:w="80" w:type="dxa"/>
              <w:end w:w="100" w:type="dxa"/>
            </w:tcMar>
            <w:vAlign w:val="center"/>
          </w:tcPr>
          <w:p>
            <w:pPr>
              <w:keepLines/>
            </w:pPr>
            <w:r>
              <w:rPr>
                <w:sz w:val="15"/>
              </w:rPr>
              <w:t>SAST on pull requests and scheduled full scans when private-repository CodeQL licensing is absent.</w:t>
            </w:r>
          </w:p>
        </w:tc>
      </w:tr>
      <w:tr>
        <w:trPr>
          <w:cantSplit/>
        </w:trPr>
        <w:tc>
          <w:tcPr>
            <w:tcW w:type="dxa" w:w="2520"/>
            <w:tcMar>
              <w:top w:w="80" w:type="dxa"/>
              <w:start w:w="100" w:type="dxa"/>
              <w:bottom w:w="80" w:type="dxa"/>
              <w:end w:w="100" w:type="dxa"/>
            </w:tcMar>
            <w:vAlign w:val="center"/>
            <w:shd w:fill="F5F7F9"/>
          </w:tcPr>
          <w:p>
            <w:pPr>
              <w:keepLines/>
              <w:jc w:val="center"/>
            </w:pPr>
            <w:r>
              <w:rPr>
                <w:sz w:val="15"/>
              </w:rPr>
              <w:t>TruffleHog OSS</w:t>
            </w:r>
          </w:p>
        </w:tc>
        <w:tc>
          <w:tcPr>
            <w:tcW w:type="dxa" w:w="1872"/>
            <w:tcMar>
              <w:top w:w="80" w:type="dxa"/>
              <w:start w:w="100" w:type="dxa"/>
              <w:bottom w:w="80" w:type="dxa"/>
              <w:end w:w="100" w:type="dxa"/>
            </w:tcMar>
            <w:vAlign w:val="center"/>
            <w:shd w:fill="F5F7F9"/>
          </w:tcPr>
          <w:p>
            <w:pPr>
              <w:keepLines/>
            </w:pPr>
            <w:r>
              <w:rPr>
                <w:sz w:val="15"/>
              </w:rPr>
              <w:t>Required baseline</w:t>
            </w:r>
          </w:p>
        </w:tc>
        <w:tc>
          <w:tcPr>
            <w:tcW w:type="dxa" w:w="5544"/>
            <w:tcMar>
              <w:top w:w="80" w:type="dxa"/>
              <w:start w:w="100" w:type="dxa"/>
              <w:bottom w:w="80" w:type="dxa"/>
              <w:end w:w="100" w:type="dxa"/>
            </w:tcMar>
            <w:vAlign w:val="center"/>
            <w:shd w:fill="F5F7F9"/>
          </w:tcPr>
          <w:p>
            <w:pPr>
              <w:keepLines/>
            </w:pPr>
            <w:r>
              <w:rPr>
                <w:sz w:val="15"/>
              </w:rPr>
              <w:t>Local pre-commit/pre-push protection, CI scan and initial repository-history scan. Keep server-side GitHub push protection if licensed.</w:t>
            </w:r>
          </w:p>
        </w:tc>
      </w:tr>
      <w:tr>
        <w:trPr>
          <w:cantSplit/>
        </w:trPr>
        <w:tc>
          <w:tcPr>
            <w:tcW w:type="dxa" w:w="2520"/>
            <w:tcMar>
              <w:top w:w="80" w:type="dxa"/>
              <w:start w:w="100" w:type="dxa"/>
              <w:bottom w:w="80" w:type="dxa"/>
              <w:end w:w="100" w:type="dxa"/>
            </w:tcMar>
            <w:vAlign w:val="center"/>
          </w:tcPr>
          <w:p>
            <w:pPr>
              <w:keepLines/>
              <w:jc w:val="center"/>
            </w:pPr>
            <w:r>
              <w:rPr>
                <w:sz w:val="15"/>
              </w:rPr>
              <w:t>Trivy</w:t>
            </w:r>
          </w:p>
        </w:tc>
        <w:tc>
          <w:tcPr>
            <w:tcW w:type="dxa" w:w="1872"/>
            <w:tcMar>
              <w:top w:w="80" w:type="dxa"/>
              <w:start w:w="100" w:type="dxa"/>
              <w:bottom w:w="80" w:type="dxa"/>
              <w:end w:w="100" w:type="dxa"/>
            </w:tcMar>
            <w:vAlign w:val="center"/>
          </w:tcPr>
          <w:p>
            <w:pPr>
              <w:keepLines/>
            </w:pPr>
            <w:r>
              <w:rPr>
                <w:sz w:val="15"/>
              </w:rPr>
              <w:t>Required where applicable</w:t>
            </w:r>
          </w:p>
        </w:tc>
        <w:tc>
          <w:tcPr>
            <w:tcW w:type="dxa" w:w="5544"/>
            <w:tcMar>
              <w:top w:w="80" w:type="dxa"/>
              <w:start w:w="100" w:type="dxa"/>
              <w:bottom w:w="80" w:type="dxa"/>
              <w:end w:w="100" w:type="dxa"/>
            </w:tcMar>
            <w:vAlign w:val="center"/>
          </w:tcPr>
          <w:p>
            <w:pPr>
              <w:keepLines/>
            </w:pPr>
            <w:r>
              <w:rPr>
                <w:sz w:val="15"/>
              </w:rPr>
              <w:t>Container image, filesystem, dependency and infrastructure configuration scanning.</w:t>
            </w:r>
          </w:p>
        </w:tc>
      </w:tr>
      <w:tr>
        <w:trPr>
          <w:cantSplit/>
        </w:trPr>
        <w:tc>
          <w:tcPr>
            <w:tcW w:type="dxa" w:w="2520"/>
            <w:tcMar>
              <w:top w:w="80" w:type="dxa"/>
              <w:start w:w="100" w:type="dxa"/>
              <w:bottom w:w="80" w:type="dxa"/>
              <w:end w:w="100" w:type="dxa"/>
            </w:tcMar>
            <w:vAlign w:val="center"/>
            <w:shd w:fill="F5F7F9"/>
          </w:tcPr>
          <w:p>
            <w:pPr>
              <w:keepLines/>
              <w:jc w:val="center"/>
            </w:pPr>
            <w:r>
              <w:rPr>
                <w:sz w:val="15"/>
              </w:rPr>
              <w:t>OWASP ZAP</w:t>
            </w:r>
          </w:p>
        </w:tc>
        <w:tc>
          <w:tcPr>
            <w:tcW w:type="dxa" w:w="1872"/>
            <w:tcMar>
              <w:top w:w="80" w:type="dxa"/>
              <w:start w:w="100" w:type="dxa"/>
              <w:bottom w:w="80" w:type="dxa"/>
              <w:end w:w="100" w:type="dxa"/>
            </w:tcMar>
            <w:vAlign w:val="center"/>
            <w:shd w:fill="F5F7F9"/>
          </w:tcPr>
          <w:p>
            <w:pPr>
              <w:keepLines/>
            </w:pPr>
            <w:r>
              <w:rPr>
                <w:sz w:val="15"/>
              </w:rPr>
              <w:t>Required baseline</w:t>
            </w:r>
          </w:p>
        </w:tc>
        <w:tc>
          <w:tcPr>
            <w:tcW w:type="dxa" w:w="5544"/>
            <w:tcMar>
              <w:top w:w="80" w:type="dxa"/>
              <w:start w:w="100" w:type="dxa"/>
              <w:bottom w:w="80" w:type="dxa"/>
              <w:end w:w="100" w:type="dxa"/>
            </w:tcMar>
            <w:vAlign w:val="center"/>
            <w:shd w:fill="F5F7F9"/>
          </w:tcPr>
          <w:p>
            <w:pPr>
              <w:keepLines/>
            </w:pPr>
            <w:r>
              <w:rPr>
                <w:sz w:val="15"/>
              </w:rPr>
              <w:t>Authenticated staging scan weekly and before significant releases. Production uses only reviewed passive or safe checks.</w:t>
            </w:r>
          </w:p>
        </w:tc>
      </w:tr>
      <w:tr>
        <w:trPr>
          <w:cantSplit/>
        </w:trPr>
        <w:tc>
          <w:tcPr>
            <w:tcW w:type="dxa" w:w="2520"/>
            <w:tcMar>
              <w:top w:w="80" w:type="dxa"/>
              <w:start w:w="100" w:type="dxa"/>
              <w:bottom w:w="80" w:type="dxa"/>
              <w:end w:w="100" w:type="dxa"/>
            </w:tcMar>
            <w:vAlign w:val="center"/>
          </w:tcPr>
          <w:p>
            <w:pPr>
              <w:keepLines/>
              <w:jc w:val="center"/>
            </w:pPr>
            <w:r>
              <w:rPr>
                <w:sz w:val="15"/>
              </w:rPr>
              <w:t>Promptfoo</w:t>
            </w:r>
          </w:p>
        </w:tc>
        <w:tc>
          <w:tcPr>
            <w:tcW w:type="dxa" w:w="1872"/>
            <w:tcMar>
              <w:top w:w="80" w:type="dxa"/>
              <w:start w:w="100" w:type="dxa"/>
              <w:bottom w:w="80" w:type="dxa"/>
              <w:end w:w="100" w:type="dxa"/>
            </w:tcMar>
            <w:vAlign w:val="center"/>
          </w:tcPr>
          <w:p>
            <w:pPr>
              <w:keepLines/>
            </w:pPr>
            <w:r>
              <w:rPr>
                <w:sz w:val="15"/>
              </w:rPr>
              <w:t>Required for MCP</w:t>
            </w:r>
          </w:p>
        </w:tc>
        <w:tc>
          <w:tcPr>
            <w:tcW w:type="dxa" w:w="5544"/>
            <w:tcMar>
              <w:top w:w="80" w:type="dxa"/>
              <w:start w:w="100" w:type="dxa"/>
              <w:bottom w:w="80" w:type="dxa"/>
              <w:end w:w="100" w:type="dxa"/>
            </w:tcMar>
            <w:vAlign w:val="center"/>
          </w:tcPr>
          <w:p>
            <w:pPr>
              <w:keepLines/>
            </w:pPr>
            <w:r>
              <w:rPr>
                <w:sz w:val="15"/>
              </w:rPr>
              <w:t>Regression tests for prompt injection, unauthorised tools, cross-merchant access, response exfiltration and approval bypass.</w:t>
            </w:r>
          </w:p>
        </w:tc>
      </w:tr>
      <w:tr>
        <w:trPr>
          <w:cantSplit/>
        </w:trPr>
        <w:tc>
          <w:tcPr>
            <w:tcW w:type="dxa" w:w="2520"/>
            <w:tcMar>
              <w:top w:w="80" w:type="dxa"/>
              <w:start w:w="100" w:type="dxa"/>
              <w:bottom w:w="80" w:type="dxa"/>
              <w:end w:w="100" w:type="dxa"/>
            </w:tcMar>
            <w:vAlign w:val="center"/>
            <w:shd w:fill="F5F7F9"/>
          </w:tcPr>
          <w:p>
            <w:pPr>
              <w:keepLines/>
              <w:jc w:val="center"/>
            </w:pPr>
            <w:r>
              <w:rPr>
                <w:sz w:val="15"/>
              </w:rPr>
              <w:t>Google Cloud Run</w:t>
            </w:r>
          </w:p>
        </w:tc>
        <w:tc>
          <w:tcPr>
            <w:tcW w:type="dxa" w:w="1872"/>
            <w:tcMar>
              <w:top w:w="80" w:type="dxa"/>
              <w:start w:w="100" w:type="dxa"/>
              <w:bottom w:w="80" w:type="dxa"/>
              <w:end w:w="100" w:type="dxa"/>
            </w:tcMar>
            <w:vAlign w:val="center"/>
            <w:shd w:fill="F5F7F9"/>
          </w:tcPr>
          <w:p>
            <w:pPr>
              <w:keepLines/>
            </w:pPr>
            <w:r>
              <w:rPr>
                <w:sz w:val="15"/>
              </w:rPr>
              <w:t>Existing architecture fit</w:t>
            </w:r>
          </w:p>
        </w:tc>
        <w:tc>
          <w:tcPr>
            <w:tcW w:type="dxa" w:w="5544"/>
            <w:tcMar>
              <w:top w:w="80" w:type="dxa"/>
              <w:start w:w="100" w:type="dxa"/>
              <w:bottom w:w="80" w:type="dxa"/>
              <w:end w:w="100" w:type="dxa"/>
            </w:tcMar>
            <w:vAlign w:val="center"/>
            <w:shd w:fill="F5F7F9"/>
          </w:tcPr>
          <w:p>
            <w:pPr>
              <w:keepLines/>
            </w:pPr>
            <w:r>
              <w:rPr>
                <w:sz w:val="15"/>
              </w:rPr>
              <w:t>Separate read and write MCP services with separate service accounts, ingress policy, resource limits and scale controls.</w:t>
            </w:r>
          </w:p>
        </w:tc>
      </w:tr>
      <w:tr>
        <w:trPr>
          <w:cantSplit/>
        </w:trPr>
        <w:tc>
          <w:tcPr>
            <w:tcW w:type="dxa" w:w="2520"/>
            <w:tcMar>
              <w:top w:w="80" w:type="dxa"/>
              <w:start w:w="100" w:type="dxa"/>
              <w:bottom w:w="80" w:type="dxa"/>
              <w:end w:w="100" w:type="dxa"/>
            </w:tcMar>
            <w:vAlign w:val="center"/>
          </w:tcPr>
          <w:p>
            <w:pPr>
              <w:keepLines/>
              <w:jc w:val="center"/>
            </w:pPr>
            <w:r>
              <w:rPr>
                <w:sz w:val="15"/>
              </w:rPr>
              <w:t>Google Cloud KMS and Secret Manager</w:t>
            </w:r>
          </w:p>
        </w:tc>
        <w:tc>
          <w:tcPr>
            <w:tcW w:type="dxa" w:w="1872"/>
            <w:tcMar>
              <w:top w:w="80" w:type="dxa"/>
              <w:start w:w="100" w:type="dxa"/>
              <w:bottom w:w="80" w:type="dxa"/>
              <w:end w:w="100" w:type="dxa"/>
            </w:tcMar>
            <w:vAlign w:val="center"/>
          </w:tcPr>
          <w:p>
            <w:pPr>
              <w:keepLines/>
            </w:pPr>
            <w:r>
              <w:rPr>
                <w:sz w:val="15"/>
              </w:rPr>
              <w:t>Required</w:t>
            </w:r>
          </w:p>
        </w:tc>
        <w:tc>
          <w:tcPr>
            <w:tcW w:type="dxa" w:w="5544"/>
            <w:tcMar>
              <w:top w:w="80" w:type="dxa"/>
              <w:start w:w="100" w:type="dxa"/>
              <w:bottom w:w="80" w:type="dxa"/>
              <w:end w:w="100" w:type="dxa"/>
            </w:tcMar>
            <w:vAlign w:val="center"/>
          </w:tcPr>
          <w:p>
            <w:pPr>
              <w:keepLines/>
            </w:pPr>
            <w:r>
              <w:rPr>
                <w:sz w:val="15"/>
              </w:rPr>
              <w:t>Signing and encryption keys, webhook secrets and service credentials. Keep Ed25519 private key in the trusted approval service boundary; use supported managed signing design.</w:t>
            </w:r>
          </w:p>
        </w:tc>
      </w:tr>
      <w:tr>
        <w:trPr>
          <w:cantSplit/>
        </w:trPr>
        <w:tc>
          <w:tcPr>
            <w:tcW w:type="dxa" w:w="2520"/>
            <w:tcMar>
              <w:top w:w="80" w:type="dxa"/>
              <w:start w:w="100" w:type="dxa"/>
              <w:bottom w:w="80" w:type="dxa"/>
              <w:end w:w="100" w:type="dxa"/>
            </w:tcMar>
            <w:vAlign w:val="center"/>
            <w:shd w:fill="F5F7F9"/>
          </w:tcPr>
          <w:p>
            <w:pPr>
              <w:keepLines/>
              <w:jc w:val="center"/>
            </w:pPr>
            <w:r>
              <w:rPr>
                <w:sz w:val="15"/>
              </w:rPr>
              <w:t>Google Cloud Storage Bucket Lock</w:t>
            </w:r>
          </w:p>
        </w:tc>
        <w:tc>
          <w:tcPr>
            <w:tcW w:type="dxa" w:w="1872"/>
            <w:tcMar>
              <w:top w:w="80" w:type="dxa"/>
              <w:start w:w="100" w:type="dxa"/>
              <w:bottom w:w="80" w:type="dxa"/>
              <w:end w:w="100" w:type="dxa"/>
            </w:tcMar>
            <w:vAlign w:val="center"/>
            <w:shd w:fill="F5F7F9"/>
          </w:tcPr>
          <w:p>
            <w:pPr>
              <w:keepLines/>
            </w:pPr>
            <w:r>
              <w:rPr>
                <w:sz w:val="15"/>
              </w:rPr>
              <w:t>Required for audit retention</w:t>
            </w:r>
          </w:p>
        </w:tc>
        <w:tc>
          <w:tcPr>
            <w:tcW w:type="dxa" w:w="5544"/>
            <w:tcMar>
              <w:top w:w="80" w:type="dxa"/>
              <w:start w:w="100" w:type="dxa"/>
              <w:bottom w:w="80" w:type="dxa"/>
              <w:end w:w="100" w:type="dxa"/>
            </w:tcMar>
            <w:vAlign w:val="center"/>
            <w:shd w:fill="F5F7F9"/>
          </w:tcPr>
          <w:p>
            <w:pPr>
              <w:keepLines/>
            </w:pPr>
            <w:r>
              <w:rPr>
                <w:sz w:val="15"/>
              </w:rPr>
              <w:t>Retention-locked audit export with separate administration, monitoring and lifecycle policy. Test retention before irrevocably locking production policy.</w:t>
            </w:r>
          </w:p>
        </w:tc>
      </w:tr>
      <w:tr>
        <w:trPr>
          <w:cantSplit/>
        </w:trPr>
        <w:tc>
          <w:tcPr>
            <w:tcW w:type="dxa" w:w="2520"/>
            <w:tcMar>
              <w:top w:w="80" w:type="dxa"/>
              <w:start w:w="100" w:type="dxa"/>
              <w:bottom w:w="80" w:type="dxa"/>
              <w:end w:w="100" w:type="dxa"/>
            </w:tcMar>
            <w:vAlign w:val="center"/>
          </w:tcPr>
          <w:p>
            <w:pPr>
              <w:keepLines/>
              <w:jc w:val="center"/>
            </w:pPr>
            <w:r>
              <w:rPr>
                <w:sz w:val="15"/>
              </w:rPr>
              <w:t>Existing transactional database</w:t>
            </w:r>
          </w:p>
        </w:tc>
        <w:tc>
          <w:tcPr>
            <w:tcW w:type="dxa" w:w="1872"/>
            <w:tcMar>
              <w:top w:w="80" w:type="dxa"/>
              <w:start w:w="100" w:type="dxa"/>
              <w:bottom w:w="80" w:type="dxa"/>
              <w:end w:w="100" w:type="dxa"/>
            </w:tcMar>
            <w:vAlign w:val="center"/>
          </w:tcPr>
          <w:p>
            <w:pPr>
              <w:keepLines/>
            </w:pPr>
            <w:r>
              <w:rPr>
                <w:sz w:val="15"/>
              </w:rPr>
              <w:t>Required</w:t>
            </w:r>
          </w:p>
        </w:tc>
        <w:tc>
          <w:tcPr>
            <w:tcW w:type="dxa" w:w="5544"/>
            <w:tcMar>
              <w:top w:w="80" w:type="dxa"/>
              <w:start w:w="100" w:type="dxa"/>
              <w:bottom w:w="80" w:type="dxa"/>
              <w:end w:w="100" w:type="dxa"/>
            </w:tcMar>
            <w:vAlign w:val="center"/>
          </w:tcPr>
          <w:p>
            <w:pPr>
              <w:keepLines/>
            </w:pPr>
            <w:r>
              <w:rPr>
                <w:sz w:val="15"/>
              </w:rPr>
              <w:t>Idempotency, approval nonces, routing versions, audit outbox and tenant policies. Add PostgreSQL RLS only if PostgreSQL is confirmed.</w:t>
            </w:r>
          </w:p>
        </w:tc>
      </w:tr>
      <w:tr>
        <w:trPr>
          <w:cantSplit/>
        </w:trPr>
        <w:tc>
          <w:tcPr>
            <w:tcW w:type="dxa" w:w="2520"/>
            <w:tcMar>
              <w:top w:w="80" w:type="dxa"/>
              <w:start w:w="100" w:type="dxa"/>
              <w:bottom w:w="80" w:type="dxa"/>
              <w:end w:w="100" w:type="dxa"/>
            </w:tcMar>
            <w:vAlign w:val="center"/>
            <w:shd w:fill="F5F7F9"/>
          </w:tcPr>
          <w:p>
            <w:pPr>
              <w:keepLines/>
              <w:jc w:val="center"/>
            </w:pPr>
            <w:r>
              <w:rPr>
                <w:sz w:val="15"/>
              </w:rPr>
              <w:t>Independent penetration tester</w:t>
            </w:r>
          </w:p>
        </w:tc>
        <w:tc>
          <w:tcPr>
            <w:tcW w:type="dxa" w:w="1872"/>
            <w:tcMar>
              <w:top w:w="80" w:type="dxa"/>
              <w:start w:w="100" w:type="dxa"/>
              <w:bottom w:w="80" w:type="dxa"/>
              <w:end w:w="100" w:type="dxa"/>
            </w:tcMar>
            <w:vAlign w:val="center"/>
            <w:shd w:fill="F5F7F9"/>
          </w:tcPr>
          <w:p>
            <w:pPr>
              <w:keepLines/>
            </w:pPr>
            <w:r>
              <w:rPr>
                <w:sz w:val="15"/>
              </w:rPr>
              <w:t>Required before broad production MCP write access</w:t>
            </w:r>
          </w:p>
        </w:tc>
        <w:tc>
          <w:tcPr>
            <w:tcW w:type="dxa" w:w="5544"/>
            <w:tcMar>
              <w:top w:w="80" w:type="dxa"/>
              <w:start w:w="100" w:type="dxa"/>
              <w:bottom w:w="80" w:type="dxa"/>
              <w:end w:w="100" w:type="dxa"/>
            </w:tcMar>
            <w:vAlign w:val="center"/>
            <w:shd w:fill="F5F7F9"/>
          </w:tcPr>
          <w:p>
            <w:pPr>
              <w:keepLines/>
            </w:pPr>
            <w:r>
              <w:rPr>
                <w:sz w:val="15"/>
              </w:rPr>
              <w:t>Manual test of dashboard, APIs, payment logic, multi-tenancy, webhook SSRF and MCP confused-deputy paths. This is project cost rather than monthly tooling.</w:t>
            </w:r>
          </w:p>
        </w:tc>
      </w:tr>
    </w:tbl>
    <w:p>
      <w:pPr>
        <w:spacing w:after="20"/>
      </w:pPr>
    </w:p>
    <w:p>
      <w:pPr>
        <w:pStyle w:val="Heading1"/>
      </w:pPr>
      <w:r>
        <w:t>5 Monthly cost estimate</w:t>
      </w:r>
    </w:p>
    <w:p>
      <w:r>
        <w:t>Planning assumptions: five active committers; low early-stage MCP traffic; two Cloud Run services that can scale to zero; 10 GB monthly immutable audit storage; existing Cloudflare Enterprise and core GitHub subscriptions already paid. Figures are USD before tax, with AUD shown at a planning rate of USD 1 = AUD 1.50. Verify contracted and regional prices before purchase.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cantSplit/>
        </w:trPr>
        <w:tc>
          <w:tcPr>
            <w:tcW w:type="dxa" w:w="2376"/>
            <w:shd w:fill="123C66"/>
            <w:tcMar>
              <w:top w:w="80" w:type="dxa"/>
              <w:start w:w="100" w:type="dxa"/>
              <w:bottom w:w="80" w:type="dxa"/>
              <w:end w:w="100" w:type="dxa"/>
            </w:tcMar>
            <w:vAlign w:val="center"/>
          </w:tcPr>
          <w:p>
            <w:pPr>
              <w:keepLines/>
              <w:jc w:val="center"/>
            </w:pPr>
            <w:r>
              <w:rPr>
                <w:b/>
                <w:color w:val="FFFFFF"/>
                <w:sz w:val="14"/>
              </w:rPr>
              <w:t>Item</w:t>
            </w:r>
          </w:p>
        </w:tc>
        <w:tc>
          <w:tcPr>
            <w:tcW w:type="dxa" w:w="1440"/>
            <w:shd w:fill="123C66"/>
            <w:tcMar>
              <w:top w:w="80" w:type="dxa"/>
              <w:start w:w="100" w:type="dxa"/>
              <w:bottom w:w="80" w:type="dxa"/>
              <w:end w:w="100" w:type="dxa"/>
            </w:tcMar>
            <w:vAlign w:val="center"/>
          </w:tcPr>
          <w:p>
            <w:pPr>
              <w:keepLines/>
              <w:jc w:val="center"/>
            </w:pPr>
            <w:r>
              <w:rPr>
                <w:b/>
                <w:color w:val="FFFFFF"/>
                <w:sz w:val="14"/>
              </w:rPr>
              <w:t>Monthly USD</w:t>
            </w:r>
          </w:p>
        </w:tc>
        <w:tc>
          <w:tcPr>
            <w:tcW w:type="dxa" w:w="1440"/>
            <w:shd w:fill="123C66"/>
            <w:tcMar>
              <w:top w:w="80" w:type="dxa"/>
              <w:start w:w="100" w:type="dxa"/>
              <w:bottom w:w="80" w:type="dxa"/>
              <w:end w:w="100" w:type="dxa"/>
            </w:tcMar>
            <w:vAlign w:val="center"/>
          </w:tcPr>
          <w:p>
            <w:pPr>
              <w:keepLines/>
              <w:jc w:val="center"/>
            </w:pPr>
            <w:r>
              <w:rPr>
                <w:b/>
                <w:color w:val="FFFFFF"/>
                <w:sz w:val="14"/>
              </w:rPr>
              <w:t>Monthly AUD</w:t>
            </w:r>
          </w:p>
        </w:tc>
        <w:tc>
          <w:tcPr>
            <w:tcW w:type="dxa" w:w="4680"/>
            <w:shd w:fill="123C66"/>
            <w:tcMar>
              <w:top w:w="80" w:type="dxa"/>
              <w:start w:w="100" w:type="dxa"/>
              <w:bottom w:w="80" w:type="dxa"/>
              <w:end w:w="100" w:type="dxa"/>
            </w:tcMar>
            <w:vAlign w:val="center"/>
          </w:tcPr>
          <w:p>
            <w:pPr>
              <w:keepLines/>
              <w:jc w:val="center"/>
            </w:pPr>
            <w:r>
              <w:rPr>
                <w:b/>
                <w:color w:val="FFFFFF"/>
                <w:sz w:val="14"/>
              </w:rPr>
              <w:t>Assumption</w:t>
            </w:r>
          </w:p>
        </w:tc>
      </w:tr>
      <w:tr>
        <w:trPr>
          <w:cantSplit/>
        </w:trPr>
        <w:tc>
          <w:tcPr>
            <w:tcW w:type="dxa" w:w="2376"/>
            <w:tcMar>
              <w:top w:w="80" w:type="dxa"/>
              <w:start w:w="100" w:type="dxa"/>
              <w:bottom w:w="80" w:type="dxa"/>
              <w:end w:w="100" w:type="dxa"/>
            </w:tcMar>
            <w:vAlign w:val="center"/>
          </w:tcPr>
          <w:p>
            <w:pPr>
              <w:keepLines/>
              <w:jc w:val="center"/>
            </w:pPr>
            <w:r>
              <w:rPr>
                <w:sz w:val="14"/>
              </w:rPr>
              <w:t>Cloudflare Enterprise baseline</w:t>
            </w:r>
          </w:p>
        </w:tc>
        <w:tc>
          <w:tcPr>
            <w:tcW w:type="dxa" w:w="1440"/>
            <w:tcMar>
              <w:top w:w="80" w:type="dxa"/>
              <w:start w:w="100" w:type="dxa"/>
              <w:bottom w:w="80" w:type="dxa"/>
              <w:end w:w="100" w:type="dxa"/>
            </w:tcMar>
            <w:vAlign w:val="center"/>
          </w:tcPr>
          <w:p>
            <w:pPr>
              <w:keepLines/>
            </w:pPr>
            <w:r>
              <w:rPr>
                <w:sz w:val="14"/>
              </w:rPr>
              <w:t>0 incremental</w:t>
            </w:r>
          </w:p>
        </w:tc>
        <w:tc>
          <w:tcPr>
            <w:tcW w:type="dxa" w:w="1440"/>
            <w:tcMar>
              <w:top w:w="80" w:type="dxa"/>
              <w:start w:w="100" w:type="dxa"/>
              <w:bottom w:w="80" w:type="dxa"/>
              <w:end w:w="100" w:type="dxa"/>
            </w:tcMar>
            <w:vAlign w:val="center"/>
          </w:tcPr>
          <w:p>
            <w:pPr>
              <w:keepLines/>
            </w:pPr>
            <w:r>
              <w:rPr>
                <w:sz w:val="14"/>
              </w:rPr>
              <w:t>0 incremental</w:t>
            </w:r>
          </w:p>
        </w:tc>
        <w:tc>
          <w:tcPr>
            <w:tcW w:type="dxa" w:w="4680"/>
            <w:tcMar>
              <w:top w:w="80" w:type="dxa"/>
              <w:start w:w="100" w:type="dxa"/>
              <w:bottom w:w="80" w:type="dxa"/>
              <w:end w:w="100" w:type="dxa"/>
            </w:tcMar>
            <w:vAlign w:val="center"/>
          </w:tcPr>
          <w:p>
            <w:pPr>
              <w:keepLines/>
            </w:pPr>
            <w:r>
              <w:rPr>
                <w:sz w:val="14"/>
              </w:rPr>
              <w:t>Existing contract. API Shield/API Security may require an account-team add-on quote.</w:t>
            </w:r>
          </w:p>
        </w:tc>
      </w:tr>
      <w:tr>
        <w:trPr>
          <w:cantSplit/>
        </w:trPr>
        <w:tc>
          <w:tcPr>
            <w:tcW w:type="dxa" w:w="2376"/>
            <w:tcMar>
              <w:top w:w="80" w:type="dxa"/>
              <w:start w:w="100" w:type="dxa"/>
              <w:bottom w:w="80" w:type="dxa"/>
              <w:end w:w="100" w:type="dxa"/>
            </w:tcMar>
            <w:vAlign w:val="center"/>
            <w:shd w:fill="F5F7F9"/>
          </w:tcPr>
          <w:p>
            <w:pPr>
              <w:keepLines/>
              <w:jc w:val="center"/>
            </w:pPr>
            <w:r>
              <w:rPr>
                <w:sz w:val="14"/>
              </w:rPr>
              <w:t>Open-source scanners</w:t>
            </w:r>
          </w:p>
        </w:tc>
        <w:tc>
          <w:tcPr>
            <w:tcW w:type="dxa" w:w="1440"/>
            <w:tcMar>
              <w:top w:w="80" w:type="dxa"/>
              <w:start w:w="100" w:type="dxa"/>
              <w:bottom w:w="80" w:type="dxa"/>
              <w:end w:w="100" w:type="dxa"/>
            </w:tcMar>
            <w:vAlign w:val="center"/>
            <w:shd w:fill="F5F7F9"/>
          </w:tcPr>
          <w:p>
            <w:pPr>
              <w:keepLines/>
            </w:pPr>
            <w:r>
              <w:rPr>
                <w:sz w:val="14"/>
              </w:rPr>
              <w:t>0</w:t>
            </w:r>
          </w:p>
        </w:tc>
        <w:tc>
          <w:tcPr>
            <w:tcW w:type="dxa" w:w="1440"/>
            <w:tcMar>
              <w:top w:w="80" w:type="dxa"/>
              <w:start w:w="100" w:type="dxa"/>
              <w:bottom w:w="80" w:type="dxa"/>
              <w:end w:w="100" w:type="dxa"/>
            </w:tcMar>
            <w:vAlign w:val="center"/>
            <w:shd w:fill="F5F7F9"/>
          </w:tcPr>
          <w:p>
            <w:pPr>
              <w:keepLines/>
            </w:pPr>
            <w:r>
              <w:rPr>
                <w:sz w:val="14"/>
              </w:rPr>
              <w:t>0</w:t>
            </w:r>
          </w:p>
        </w:tc>
        <w:tc>
          <w:tcPr>
            <w:tcW w:type="dxa" w:w="4680"/>
            <w:tcMar>
              <w:top w:w="80" w:type="dxa"/>
              <w:start w:w="100" w:type="dxa"/>
              <w:bottom w:w="80" w:type="dxa"/>
              <w:end w:w="100" w:type="dxa"/>
            </w:tcMar>
            <w:vAlign w:val="center"/>
            <w:shd w:fill="F5F7F9"/>
          </w:tcPr>
          <w:p>
            <w:pPr>
              <w:keepLines/>
            </w:pPr>
            <w:r>
              <w:rPr>
                <w:sz w:val="14"/>
              </w:rPr>
              <w:t>Semgrep OSS, TruffleHog, Trivy, ZAP and Promptfoo; excludes CI compute and LLM evaluation tokens.</w:t>
            </w:r>
          </w:p>
        </w:tc>
      </w:tr>
      <w:tr>
        <w:trPr>
          <w:cantSplit/>
        </w:trPr>
        <w:tc>
          <w:tcPr>
            <w:tcW w:type="dxa" w:w="2376"/>
            <w:tcMar>
              <w:top w:w="80" w:type="dxa"/>
              <w:start w:w="100" w:type="dxa"/>
              <w:bottom w:w="80" w:type="dxa"/>
              <w:end w:w="100" w:type="dxa"/>
            </w:tcMar>
            <w:vAlign w:val="center"/>
          </w:tcPr>
          <w:p>
            <w:pPr>
              <w:keepLines/>
              <w:jc w:val="center"/>
            </w:pPr>
            <w:r>
              <w:rPr>
                <w:sz w:val="14"/>
              </w:rPr>
              <w:t>GitHub Actions security jobs</w:t>
            </w:r>
          </w:p>
        </w:tc>
        <w:tc>
          <w:tcPr>
            <w:tcW w:type="dxa" w:w="1440"/>
            <w:tcMar>
              <w:top w:w="80" w:type="dxa"/>
              <w:start w:w="100" w:type="dxa"/>
              <w:bottom w:w="80" w:type="dxa"/>
              <w:end w:w="100" w:type="dxa"/>
            </w:tcMar>
            <w:vAlign w:val="center"/>
          </w:tcPr>
          <w:p>
            <w:pPr>
              <w:keepLines/>
            </w:pPr>
            <w:r>
              <w:rPr>
                <w:sz w:val="14"/>
              </w:rPr>
              <w:t>0–20</w:t>
            </w:r>
          </w:p>
        </w:tc>
        <w:tc>
          <w:tcPr>
            <w:tcW w:type="dxa" w:w="1440"/>
            <w:tcMar>
              <w:top w:w="80" w:type="dxa"/>
              <w:start w:w="100" w:type="dxa"/>
              <w:bottom w:w="80" w:type="dxa"/>
              <w:end w:w="100" w:type="dxa"/>
            </w:tcMar>
            <w:vAlign w:val="center"/>
          </w:tcPr>
          <w:p>
            <w:pPr>
              <w:keepLines/>
            </w:pPr>
            <w:r>
              <w:rPr>
                <w:sz w:val="14"/>
              </w:rPr>
              <w:t>0–30</w:t>
            </w:r>
          </w:p>
        </w:tc>
        <w:tc>
          <w:tcPr>
            <w:tcW w:type="dxa" w:w="4680"/>
            <w:tcMar>
              <w:top w:w="80" w:type="dxa"/>
              <w:start w:w="100" w:type="dxa"/>
              <w:bottom w:w="80" w:type="dxa"/>
              <w:end w:w="100" w:type="dxa"/>
            </w:tcMar>
            <w:vAlign w:val="center"/>
          </w:tcPr>
          <w:p>
            <w:pPr>
              <w:keepLines/>
            </w:pPr>
            <w:r>
              <w:rPr>
                <w:sz w:val="14"/>
              </w:rPr>
              <w:t>Expected within current allowance at low volume; depends on private-repository minutes and scan duration.</w:t>
            </w:r>
          </w:p>
        </w:tc>
      </w:tr>
      <w:tr>
        <w:trPr>
          <w:cantSplit/>
        </w:trPr>
        <w:tc>
          <w:tcPr>
            <w:tcW w:type="dxa" w:w="2376"/>
            <w:tcMar>
              <w:top w:w="80" w:type="dxa"/>
              <w:start w:w="100" w:type="dxa"/>
              <w:bottom w:w="80" w:type="dxa"/>
              <w:end w:w="100" w:type="dxa"/>
            </w:tcMar>
            <w:vAlign w:val="center"/>
            <w:shd w:fill="F5F7F9"/>
          </w:tcPr>
          <w:p>
            <w:pPr>
              <w:keepLines/>
              <w:jc w:val="center"/>
            </w:pPr>
            <w:r>
              <w:rPr>
                <w:sz w:val="14"/>
              </w:rPr>
              <w:t>Cloud Run service separation</w:t>
            </w:r>
          </w:p>
        </w:tc>
        <w:tc>
          <w:tcPr>
            <w:tcW w:type="dxa" w:w="1440"/>
            <w:tcMar>
              <w:top w:w="80" w:type="dxa"/>
              <w:start w:w="100" w:type="dxa"/>
              <w:bottom w:w="80" w:type="dxa"/>
              <w:end w:w="100" w:type="dxa"/>
            </w:tcMar>
            <w:vAlign w:val="center"/>
            <w:shd w:fill="F5F7F9"/>
          </w:tcPr>
          <w:p>
            <w:pPr>
              <w:keepLines/>
            </w:pPr>
            <w:r>
              <w:rPr>
                <w:sz w:val="14"/>
              </w:rPr>
              <w:t>0–20</w:t>
            </w:r>
          </w:p>
        </w:tc>
        <w:tc>
          <w:tcPr>
            <w:tcW w:type="dxa" w:w="1440"/>
            <w:tcMar>
              <w:top w:w="80" w:type="dxa"/>
              <w:start w:w="100" w:type="dxa"/>
              <w:bottom w:w="80" w:type="dxa"/>
              <w:end w:w="100" w:type="dxa"/>
            </w:tcMar>
            <w:vAlign w:val="center"/>
            <w:shd w:fill="F5F7F9"/>
          </w:tcPr>
          <w:p>
            <w:pPr>
              <w:keepLines/>
            </w:pPr>
            <w:r>
              <w:rPr>
                <w:sz w:val="14"/>
              </w:rPr>
              <w:t>0–30</w:t>
            </w:r>
          </w:p>
        </w:tc>
        <w:tc>
          <w:tcPr>
            <w:tcW w:type="dxa" w:w="4680"/>
            <w:tcMar>
              <w:top w:w="80" w:type="dxa"/>
              <w:start w:w="100" w:type="dxa"/>
              <w:bottom w:w="80" w:type="dxa"/>
              <w:end w:w="100" w:type="dxa"/>
            </w:tcMar>
            <w:vAlign w:val="center"/>
            <w:shd w:fill="F5F7F9"/>
          </w:tcPr>
          <w:p>
            <w:pPr>
              <w:keepLines/>
            </w:pPr>
            <w:r>
              <w:rPr>
                <w:sz w:val="14"/>
              </w:rPr>
              <w:t>Low traffic and scale to zero; regional usage and minimum instances can increase cost.</w:t>
            </w:r>
          </w:p>
        </w:tc>
      </w:tr>
      <w:tr>
        <w:trPr>
          <w:cantSplit/>
        </w:trPr>
        <w:tc>
          <w:tcPr>
            <w:tcW w:type="dxa" w:w="2376"/>
            <w:tcMar>
              <w:top w:w="80" w:type="dxa"/>
              <w:start w:w="100" w:type="dxa"/>
              <w:bottom w:w="80" w:type="dxa"/>
              <w:end w:w="100" w:type="dxa"/>
            </w:tcMar>
            <w:vAlign w:val="center"/>
          </w:tcPr>
          <w:p>
            <w:pPr>
              <w:keepLines/>
              <w:jc w:val="center"/>
            </w:pPr>
            <w:r>
              <w:rPr>
                <w:sz w:val="14"/>
              </w:rPr>
              <w:t>Cloud KMS and Secret Manager</w:t>
            </w:r>
          </w:p>
        </w:tc>
        <w:tc>
          <w:tcPr>
            <w:tcW w:type="dxa" w:w="1440"/>
            <w:tcMar>
              <w:top w:w="80" w:type="dxa"/>
              <w:start w:w="100" w:type="dxa"/>
              <w:bottom w:w="80" w:type="dxa"/>
              <w:end w:w="100" w:type="dxa"/>
            </w:tcMar>
            <w:vAlign w:val="center"/>
          </w:tcPr>
          <w:p>
            <w:pPr>
              <w:keepLines/>
            </w:pPr>
            <w:r>
              <w:rPr>
                <w:sz w:val="14"/>
              </w:rPr>
              <w:t>1–5</w:t>
            </w:r>
          </w:p>
        </w:tc>
        <w:tc>
          <w:tcPr>
            <w:tcW w:type="dxa" w:w="1440"/>
            <w:tcMar>
              <w:top w:w="80" w:type="dxa"/>
              <w:start w:w="100" w:type="dxa"/>
              <w:bottom w:w="80" w:type="dxa"/>
              <w:end w:w="100" w:type="dxa"/>
            </w:tcMar>
            <w:vAlign w:val="center"/>
          </w:tcPr>
          <w:p>
            <w:pPr>
              <w:keepLines/>
            </w:pPr>
            <w:r>
              <w:rPr>
                <w:sz w:val="14"/>
              </w:rPr>
              <w:t>2–8</w:t>
            </w:r>
          </w:p>
        </w:tc>
        <w:tc>
          <w:tcPr>
            <w:tcW w:type="dxa" w:w="4680"/>
            <w:tcMar>
              <w:top w:w="80" w:type="dxa"/>
              <w:start w:w="100" w:type="dxa"/>
              <w:bottom w:w="80" w:type="dxa"/>
              <w:end w:w="100" w:type="dxa"/>
            </w:tcMar>
            <w:vAlign w:val="center"/>
          </w:tcPr>
          <w:p>
            <w:pPr>
              <w:keepLines/>
            </w:pPr>
            <w:r>
              <w:rPr>
                <w:sz w:val="14"/>
              </w:rPr>
              <w:t>Small key and secret set with low operation count.</w:t>
            </w:r>
          </w:p>
        </w:tc>
      </w:tr>
      <w:tr>
        <w:trPr>
          <w:cantSplit/>
        </w:trPr>
        <w:tc>
          <w:tcPr>
            <w:tcW w:type="dxa" w:w="2376"/>
            <w:tcMar>
              <w:top w:w="80" w:type="dxa"/>
              <w:start w:w="100" w:type="dxa"/>
              <w:bottom w:w="80" w:type="dxa"/>
              <w:end w:w="100" w:type="dxa"/>
            </w:tcMar>
            <w:vAlign w:val="center"/>
            <w:shd w:fill="F5F7F9"/>
          </w:tcPr>
          <w:p>
            <w:pPr>
              <w:keepLines/>
              <w:jc w:val="center"/>
            </w:pPr>
            <w:r>
              <w:rPr>
                <w:sz w:val="14"/>
              </w:rPr>
              <w:t>Retention-locked audit storage</w:t>
            </w:r>
          </w:p>
        </w:tc>
        <w:tc>
          <w:tcPr>
            <w:tcW w:type="dxa" w:w="1440"/>
            <w:tcMar>
              <w:top w:w="80" w:type="dxa"/>
              <w:start w:w="100" w:type="dxa"/>
              <w:bottom w:w="80" w:type="dxa"/>
              <w:end w:w="100" w:type="dxa"/>
            </w:tcMar>
            <w:vAlign w:val="center"/>
            <w:shd w:fill="F5F7F9"/>
          </w:tcPr>
          <w:p>
            <w:pPr>
              <w:keepLines/>
            </w:pPr>
            <w:r>
              <w:rPr>
                <w:sz w:val="14"/>
              </w:rPr>
              <w:t>1–5</w:t>
            </w:r>
          </w:p>
        </w:tc>
        <w:tc>
          <w:tcPr>
            <w:tcW w:type="dxa" w:w="1440"/>
            <w:tcMar>
              <w:top w:w="80" w:type="dxa"/>
              <w:start w:w="100" w:type="dxa"/>
              <w:bottom w:w="80" w:type="dxa"/>
              <w:end w:w="100" w:type="dxa"/>
            </w:tcMar>
            <w:vAlign w:val="center"/>
            <w:shd w:fill="F5F7F9"/>
          </w:tcPr>
          <w:p>
            <w:pPr>
              <w:keepLines/>
            </w:pPr>
            <w:r>
              <w:rPr>
                <w:sz w:val="14"/>
              </w:rPr>
              <w:t>2–8</w:t>
            </w:r>
          </w:p>
        </w:tc>
        <w:tc>
          <w:tcPr>
            <w:tcW w:type="dxa" w:w="4680"/>
            <w:tcMar>
              <w:top w:w="80" w:type="dxa"/>
              <w:start w:w="100" w:type="dxa"/>
              <w:bottom w:w="80" w:type="dxa"/>
              <w:end w:w="100" w:type="dxa"/>
            </w:tcMar>
            <w:vAlign w:val="center"/>
            <w:shd w:fill="F5F7F9"/>
          </w:tcPr>
          <w:p>
            <w:pPr>
              <w:keepLines/>
            </w:pPr>
            <w:r>
              <w:rPr>
                <w:sz w:val="14"/>
              </w:rPr>
              <w:t>Approx. 10 GB plus operations and log compression. Retention lock itself is a control, not a separate licence.</w:t>
            </w:r>
          </w:p>
        </w:tc>
      </w:tr>
      <w:tr>
        <w:trPr>
          <w:cantSplit/>
        </w:trPr>
        <w:tc>
          <w:tcPr>
            <w:tcW w:type="dxa" w:w="2376"/>
            <w:tcMar>
              <w:top w:w="80" w:type="dxa"/>
              <w:start w:w="100" w:type="dxa"/>
              <w:bottom w:w="80" w:type="dxa"/>
              <w:end w:w="100" w:type="dxa"/>
            </w:tcMar>
            <w:vAlign w:val="center"/>
          </w:tcPr>
          <w:p>
            <w:pPr>
              <w:keepLines/>
              <w:jc w:val="center"/>
            </w:pPr>
            <w:r>
              <w:rPr>
                <w:sz w:val="14"/>
              </w:rPr>
              <w:t>Logging and alerts</w:t>
            </w:r>
          </w:p>
        </w:tc>
        <w:tc>
          <w:tcPr>
            <w:tcW w:type="dxa" w:w="1440"/>
            <w:tcMar>
              <w:top w:w="80" w:type="dxa"/>
              <w:start w:w="100" w:type="dxa"/>
              <w:bottom w:w="80" w:type="dxa"/>
              <w:end w:w="100" w:type="dxa"/>
            </w:tcMar>
            <w:vAlign w:val="center"/>
          </w:tcPr>
          <w:p>
            <w:pPr>
              <w:keepLines/>
            </w:pPr>
            <w:r>
              <w:rPr>
                <w:sz w:val="14"/>
              </w:rPr>
              <w:t>0–15</w:t>
            </w:r>
          </w:p>
        </w:tc>
        <w:tc>
          <w:tcPr>
            <w:tcW w:type="dxa" w:w="1440"/>
            <w:tcMar>
              <w:top w:w="80" w:type="dxa"/>
              <w:start w:w="100" w:type="dxa"/>
              <w:bottom w:w="80" w:type="dxa"/>
              <w:end w:w="100" w:type="dxa"/>
            </w:tcMar>
            <w:vAlign w:val="center"/>
          </w:tcPr>
          <w:p>
            <w:pPr>
              <w:keepLines/>
            </w:pPr>
            <w:r>
              <w:rPr>
                <w:sz w:val="14"/>
              </w:rPr>
              <w:t>0–23</w:t>
            </w:r>
          </w:p>
        </w:tc>
        <w:tc>
          <w:tcPr>
            <w:tcW w:type="dxa" w:w="4680"/>
            <w:tcMar>
              <w:top w:w="80" w:type="dxa"/>
              <w:start w:w="100" w:type="dxa"/>
              <w:bottom w:w="80" w:type="dxa"/>
              <w:end w:w="100" w:type="dxa"/>
            </w:tcMar>
            <w:vAlign w:val="center"/>
          </w:tcPr>
          <w:p>
            <w:pPr>
              <w:keepLines/>
            </w:pPr>
            <w:r>
              <w:rPr>
                <w:sz w:val="14"/>
              </w:rPr>
              <w:t>Low volume with exclusions and retention controls. Alert delivery and SIEM export may increase cost.</w:t>
            </w:r>
          </w:p>
        </w:tc>
      </w:tr>
      <w:tr>
        <w:trPr>
          <w:cantSplit/>
        </w:trPr>
        <w:tc>
          <w:tcPr>
            <w:tcW w:type="dxa" w:w="2376"/>
            <w:tcMar>
              <w:top w:w="80" w:type="dxa"/>
              <w:start w:w="100" w:type="dxa"/>
              <w:bottom w:w="80" w:type="dxa"/>
              <w:end w:w="100" w:type="dxa"/>
            </w:tcMar>
            <w:vAlign w:val="center"/>
            <w:shd w:fill="F5F7F9"/>
          </w:tcPr>
          <w:p>
            <w:pPr>
              <w:keepLines/>
              <w:jc w:val="center"/>
            </w:pPr>
            <w:r>
              <w:rPr>
                <w:sz w:val="14"/>
              </w:rPr>
              <w:t>Restricted egress and static outbound path</w:t>
            </w:r>
          </w:p>
        </w:tc>
        <w:tc>
          <w:tcPr>
            <w:tcW w:type="dxa" w:w="1440"/>
            <w:tcMar>
              <w:top w:w="80" w:type="dxa"/>
              <w:start w:w="100" w:type="dxa"/>
              <w:bottom w:w="80" w:type="dxa"/>
              <w:end w:w="100" w:type="dxa"/>
            </w:tcMar>
            <w:vAlign w:val="center"/>
            <w:shd w:fill="F5F7F9"/>
          </w:tcPr>
          <w:p>
            <w:pPr>
              <w:keepLines/>
            </w:pPr>
            <w:r>
              <w:rPr>
                <w:sz w:val="14"/>
              </w:rPr>
              <w:t>35–65</w:t>
            </w:r>
          </w:p>
        </w:tc>
        <w:tc>
          <w:tcPr>
            <w:tcW w:type="dxa" w:w="1440"/>
            <w:tcMar>
              <w:top w:w="80" w:type="dxa"/>
              <w:start w:w="100" w:type="dxa"/>
              <w:bottom w:w="80" w:type="dxa"/>
              <w:end w:w="100" w:type="dxa"/>
            </w:tcMar>
            <w:vAlign w:val="center"/>
            <w:shd w:fill="F5F7F9"/>
          </w:tcPr>
          <w:p>
            <w:pPr>
              <w:keepLines/>
            </w:pPr>
            <w:r>
              <w:rPr>
                <w:sz w:val="14"/>
              </w:rPr>
              <w:t>53–98</w:t>
            </w:r>
          </w:p>
        </w:tc>
        <w:tc>
          <w:tcPr>
            <w:tcW w:type="dxa" w:w="4680"/>
            <w:tcMar>
              <w:top w:w="80" w:type="dxa"/>
              <w:start w:w="100" w:type="dxa"/>
              <w:bottom w:w="80" w:type="dxa"/>
              <w:end w:w="100" w:type="dxa"/>
            </w:tcMar>
            <w:vAlign w:val="center"/>
            <w:shd w:fill="F5F7F9"/>
          </w:tcPr>
          <w:p>
            <w:pPr>
              <w:keepLines/>
            </w:pPr>
            <w:r>
              <w:rPr>
                <w:sz w:val="14"/>
              </w:rPr>
              <w:t>Planning allowance for VPC/NAT or equivalent architecture; confirm against the deployed region and design.</w:t>
            </w:r>
          </w:p>
        </w:tc>
      </w:tr>
      <w:tr>
        <w:trPr>
          <w:cantSplit/>
        </w:trPr>
        <w:tc>
          <w:tcPr>
            <w:tcW w:type="dxa" w:w="2376"/>
            <w:tcMar>
              <w:top w:w="80" w:type="dxa"/>
              <w:start w:w="100" w:type="dxa"/>
              <w:bottom w:w="80" w:type="dxa"/>
              <w:end w:w="100" w:type="dxa"/>
            </w:tcMar>
            <w:vAlign w:val="center"/>
          </w:tcPr>
          <w:p>
            <w:pPr>
              <w:keepLines/>
              <w:jc w:val="center"/>
            </w:pPr>
            <w:r>
              <w:rPr>
                <w:sz w:val="14"/>
              </w:rPr>
              <w:t>Baseline incremental total</w:t>
            </w:r>
          </w:p>
        </w:tc>
        <w:tc>
          <w:tcPr>
            <w:tcW w:type="dxa" w:w="1440"/>
            <w:tcMar>
              <w:top w:w="80" w:type="dxa"/>
              <w:start w:w="100" w:type="dxa"/>
              <w:bottom w:w="80" w:type="dxa"/>
              <w:end w:w="100" w:type="dxa"/>
            </w:tcMar>
            <w:vAlign w:val="center"/>
          </w:tcPr>
          <w:p>
            <w:pPr>
              <w:keepLines/>
            </w:pPr>
            <w:r>
              <w:rPr>
                <w:sz w:val="14"/>
              </w:rPr>
              <w:t>37–130</w:t>
            </w:r>
          </w:p>
        </w:tc>
        <w:tc>
          <w:tcPr>
            <w:tcW w:type="dxa" w:w="1440"/>
            <w:tcMar>
              <w:top w:w="80" w:type="dxa"/>
              <w:start w:w="100" w:type="dxa"/>
              <w:bottom w:w="80" w:type="dxa"/>
              <w:end w:w="100" w:type="dxa"/>
            </w:tcMar>
            <w:vAlign w:val="center"/>
          </w:tcPr>
          <w:p>
            <w:pPr>
              <w:keepLines/>
            </w:pPr>
            <w:r>
              <w:rPr>
                <w:sz w:val="14"/>
              </w:rPr>
              <w:t>57–197</w:t>
            </w:r>
          </w:p>
        </w:tc>
        <w:tc>
          <w:tcPr>
            <w:tcW w:type="dxa" w:w="4680"/>
            <w:tcMar>
              <w:top w:w="80" w:type="dxa"/>
              <w:start w:w="100" w:type="dxa"/>
              <w:bottom w:w="80" w:type="dxa"/>
              <w:end w:w="100" w:type="dxa"/>
            </w:tcMar>
            <w:vAlign w:val="center"/>
          </w:tcPr>
          <w:p>
            <w:pPr>
              <w:keepLines/>
            </w:pPr>
            <w:r>
              <w:rPr>
                <w:sz w:val="14"/>
              </w:rPr>
              <w:t>Excludes existing subscriptions, labour, SMS, penetration testing and optional GitHub security licences.</w:t>
            </w:r>
          </w:p>
        </w:tc>
      </w:tr>
      <w:tr>
        <w:trPr>
          <w:cantSplit/>
        </w:trPr>
        <w:tc>
          <w:tcPr>
            <w:tcW w:type="dxa" w:w="2376"/>
            <w:tcMar>
              <w:top w:w="80" w:type="dxa"/>
              <w:start w:w="100" w:type="dxa"/>
              <w:bottom w:w="80" w:type="dxa"/>
              <w:end w:w="100" w:type="dxa"/>
            </w:tcMar>
            <w:vAlign w:val="center"/>
            <w:shd w:fill="F5F7F9"/>
          </w:tcPr>
          <w:p>
            <w:pPr>
              <w:keepLines/>
              <w:jc w:val="center"/>
            </w:pPr>
            <w:r>
              <w:rPr>
                <w:sz w:val="14"/>
              </w:rPr>
              <w:t>GitHub Secret Protection optional</w:t>
            </w:r>
          </w:p>
        </w:tc>
        <w:tc>
          <w:tcPr>
            <w:tcW w:type="dxa" w:w="1440"/>
            <w:tcMar>
              <w:top w:w="80" w:type="dxa"/>
              <w:start w:w="100" w:type="dxa"/>
              <w:bottom w:w="80" w:type="dxa"/>
              <w:end w:w="100" w:type="dxa"/>
            </w:tcMar>
            <w:vAlign w:val="center"/>
            <w:shd w:fill="F5F7F9"/>
          </w:tcPr>
          <w:p>
            <w:pPr>
              <w:keepLines/>
            </w:pPr>
            <w:r>
              <w:rPr>
                <w:sz w:val="14"/>
              </w:rPr>
              <w:t>95</w:t>
            </w:r>
          </w:p>
        </w:tc>
        <w:tc>
          <w:tcPr>
            <w:tcW w:type="dxa" w:w="1440"/>
            <w:tcMar>
              <w:top w:w="80" w:type="dxa"/>
              <w:start w:w="100" w:type="dxa"/>
              <w:bottom w:w="80" w:type="dxa"/>
              <w:end w:w="100" w:type="dxa"/>
            </w:tcMar>
            <w:vAlign w:val="center"/>
            <w:shd w:fill="F5F7F9"/>
          </w:tcPr>
          <w:p>
            <w:pPr>
              <w:keepLines/>
            </w:pPr>
            <w:r>
              <w:rPr>
                <w:sz w:val="14"/>
              </w:rPr>
              <w:t>143</w:t>
            </w:r>
          </w:p>
        </w:tc>
        <w:tc>
          <w:tcPr>
            <w:tcW w:type="dxa" w:w="4680"/>
            <w:tcMar>
              <w:top w:w="80" w:type="dxa"/>
              <w:start w:w="100" w:type="dxa"/>
              <w:bottom w:w="80" w:type="dxa"/>
              <w:end w:w="100" w:type="dxa"/>
            </w:tcMar>
            <w:vAlign w:val="center"/>
            <w:shd w:fill="F5F7F9"/>
          </w:tcPr>
          <w:p>
            <w:pPr>
              <w:keepLines/>
            </w:pPr>
            <w:r>
              <w:rPr>
                <w:sz w:val="14"/>
              </w:rPr>
              <w:t>USD 19 × five active committers for private repositories. Public repositories receive selected features free.</w:t>
            </w:r>
          </w:p>
        </w:tc>
      </w:tr>
      <w:tr>
        <w:trPr>
          <w:cantSplit/>
        </w:trPr>
        <w:tc>
          <w:tcPr>
            <w:tcW w:type="dxa" w:w="2376"/>
            <w:tcMar>
              <w:top w:w="80" w:type="dxa"/>
              <w:start w:w="100" w:type="dxa"/>
              <w:bottom w:w="80" w:type="dxa"/>
              <w:end w:w="100" w:type="dxa"/>
            </w:tcMar>
            <w:vAlign w:val="center"/>
          </w:tcPr>
          <w:p>
            <w:pPr>
              <w:keepLines/>
              <w:jc w:val="center"/>
            </w:pPr>
            <w:r>
              <w:rPr>
                <w:sz w:val="14"/>
              </w:rPr>
              <w:t>GitHub Code Security optional</w:t>
            </w:r>
          </w:p>
        </w:tc>
        <w:tc>
          <w:tcPr>
            <w:tcW w:type="dxa" w:w="1440"/>
            <w:tcMar>
              <w:top w:w="80" w:type="dxa"/>
              <w:start w:w="100" w:type="dxa"/>
              <w:bottom w:w="80" w:type="dxa"/>
              <w:end w:w="100" w:type="dxa"/>
            </w:tcMar>
            <w:vAlign w:val="center"/>
          </w:tcPr>
          <w:p>
            <w:pPr>
              <w:keepLines/>
            </w:pPr>
            <w:r>
              <w:rPr>
                <w:sz w:val="14"/>
              </w:rPr>
              <w:t>150</w:t>
            </w:r>
          </w:p>
        </w:tc>
        <w:tc>
          <w:tcPr>
            <w:tcW w:type="dxa" w:w="1440"/>
            <w:tcMar>
              <w:top w:w="80" w:type="dxa"/>
              <w:start w:w="100" w:type="dxa"/>
              <w:bottom w:w="80" w:type="dxa"/>
              <w:end w:w="100" w:type="dxa"/>
            </w:tcMar>
            <w:vAlign w:val="center"/>
          </w:tcPr>
          <w:p>
            <w:pPr>
              <w:keepLines/>
            </w:pPr>
            <w:r>
              <w:rPr>
                <w:sz w:val="14"/>
              </w:rPr>
              <w:t>225</w:t>
            </w:r>
          </w:p>
        </w:tc>
        <w:tc>
          <w:tcPr>
            <w:tcW w:type="dxa" w:w="4680"/>
            <w:tcMar>
              <w:top w:w="80" w:type="dxa"/>
              <w:start w:w="100" w:type="dxa"/>
              <w:bottom w:w="80" w:type="dxa"/>
              <w:end w:w="100" w:type="dxa"/>
            </w:tcMar>
            <w:vAlign w:val="center"/>
          </w:tcPr>
          <w:p>
            <w:pPr>
              <w:keepLines/>
            </w:pPr>
            <w:r>
              <w:rPr>
                <w:sz w:val="14"/>
              </w:rPr>
              <w:t>USD 30 × five active committers for private repositories.</w:t>
            </w:r>
          </w:p>
        </w:tc>
      </w:tr>
      <w:tr>
        <w:trPr>
          <w:cantSplit/>
        </w:trPr>
        <w:tc>
          <w:tcPr>
            <w:tcW w:type="dxa" w:w="2376"/>
            <w:tcMar>
              <w:top w:w="80" w:type="dxa"/>
              <w:start w:w="100" w:type="dxa"/>
              <w:bottom w:w="80" w:type="dxa"/>
              <w:end w:w="100" w:type="dxa"/>
            </w:tcMar>
            <w:vAlign w:val="center"/>
            <w:shd w:fill="F5F7F9"/>
          </w:tcPr>
          <w:p>
            <w:pPr>
              <w:keepLines/>
              <w:jc w:val="center"/>
            </w:pPr>
            <w:r>
              <w:rPr>
                <w:sz w:val="14"/>
              </w:rPr>
              <w:t>Baseline plus both GitHub products</w:t>
            </w:r>
          </w:p>
        </w:tc>
        <w:tc>
          <w:tcPr>
            <w:tcW w:type="dxa" w:w="1440"/>
            <w:tcMar>
              <w:top w:w="80" w:type="dxa"/>
              <w:start w:w="100" w:type="dxa"/>
              <w:bottom w:w="80" w:type="dxa"/>
              <w:end w:w="100" w:type="dxa"/>
            </w:tcMar>
            <w:vAlign w:val="center"/>
            <w:shd w:fill="F5F7F9"/>
          </w:tcPr>
          <w:p>
            <w:pPr>
              <w:keepLines/>
            </w:pPr>
            <w:r>
              <w:rPr>
                <w:sz w:val="14"/>
              </w:rPr>
              <w:t>282–375</w:t>
            </w:r>
          </w:p>
        </w:tc>
        <w:tc>
          <w:tcPr>
            <w:tcW w:type="dxa" w:w="1440"/>
            <w:tcMar>
              <w:top w:w="80" w:type="dxa"/>
              <w:start w:w="100" w:type="dxa"/>
              <w:bottom w:w="80" w:type="dxa"/>
              <w:end w:w="100" w:type="dxa"/>
            </w:tcMar>
            <w:vAlign w:val="center"/>
            <w:shd w:fill="F5F7F9"/>
          </w:tcPr>
          <w:p>
            <w:pPr>
              <w:keepLines/>
            </w:pPr>
            <w:r>
              <w:rPr>
                <w:sz w:val="14"/>
              </w:rPr>
              <w:t>425–565</w:t>
            </w:r>
          </w:p>
        </w:tc>
        <w:tc>
          <w:tcPr>
            <w:tcW w:type="dxa" w:w="4680"/>
            <w:tcMar>
              <w:top w:w="80" w:type="dxa"/>
              <w:start w:w="100" w:type="dxa"/>
              <w:bottom w:w="80" w:type="dxa"/>
              <w:end w:w="100" w:type="dxa"/>
            </w:tcMar>
            <w:vAlign w:val="center"/>
            <w:shd w:fill="F5F7F9"/>
          </w:tcPr>
          <w:p>
            <w:pPr>
              <w:keepLines/>
            </w:pPr>
            <w:r>
              <w:rPr>
                <w:sz w:val="14"/>
              </w:rPr>
              <w:t>Also confirm the required GitHub Team or Enterprise entitlement and active-committer count.</w:t>
            </w:r>
          </w:p>
        </w:tc>
      </w:tr>
    </w:tbl>
    <w:p>
      <w:pPr>
        <w:spacing w:after="20"/>
      </w:pPr>
    </w:p>
    <w:p>
      <w:r>
        <w:rPr>
          <w:b/>
        </w:rPr>
        <w:t>Recommended purchasing position</w:t>
      </w:r>
      <w:r/>
    </w:p>
    <w:p>
      <w:r>
        <w:t>Start with the baseline and request Cloudflare entitlement confirmation. For private repositories, deploy the open-source scanning workflow immediately. Trial or purchase GitHub Secret Protection first if server-side push protection and secret response workflow are the largest gap; evaluate Code Security after measuring Semgrep coverage and engineering triage capacity.</w:t>
      </w:r>
    </w:p>
    <w:p>
      <w:pPr>
        <w:pStyle w:val="Heading1"/>
      </w:pPr>
      <w:r>
        <w:t>6 Implementation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cantSplit/>
        </w:trPr>
        <w:tc>
          <w:tcPr>
            <w:tcW w:type="dxa" w:w="1944"/>
            <w:shd w:fill="123C66"/>
            <w:tcMar>
              <w:top w:w="80" w:type="dxa"/>
              <w:start w:w="100" w:type="dxa"/>
              <w:bottom w:w="80" w:type="dxa"/>
              <w:end w:w="100" w:type="dxa"/>
            </w:tcMar>
            <w:vAlign w:val="center"/>
          </w:tcPr>
          <w:p>
            <w:pPr>
              <w:keepLines/>
              <w:jc w:val="center"/>
            </w:pPr>
            <w:r>
              <w:rPr>
                <w:b/>
                <w:color w:val="FFFFFF"/>
                <w:sz w:val="16"/>
              </w:rPr>
              <w:t>Window</w:t>
            </w:r>
          </w:p>
        </w:tc>
        <w:tc>
          <w:tcPr>
            <w:tcW w:type="dxa" w:w="7992"/>
            <w:shd w:fill="123C66"/>
            <w:tcMar>
              <w:top w:w="80" w:type="dxa"/>
              <w:start w:w="100" w:type="dxa"/>
              <w:bottom w:w="80" w:type="dxa"/>
              <w:end w:w="100" w:type="dxa"/>
            </w:tcMar>
            <w:vAlign w:val="center"/>
          </w:tcPr>
          <w:p>
            <w:pPr>
              <w:keepLines/>
              <w:jc w:val="center"/>
            </w:pPr>
            <w:r>
              <w:rPr>
                <w:b/>
                <w:color w:val="FFFFFF"/>
                <w:sz w:val="16"/>
              </w:rPr>
              <w:t>Deliverables</w:t>
            </w:r>
          </w:p>
        </w:tc>
      </w:tr>
      <w:tr>
        <w:trPr>
          <w:cantSplit/>
        </w:trPr>
        <w:tc>
          <w:tcPr>
            <w:tcW w:type="dxa" w:w="1944"/>
            <w:tcMar>
              <w:top w:w="80" w:type="dxa"/>
              <w:start w:w="100" w:type="dxa"/>
              <w:bottom w:w="80" w:type="dxa"/>
              <w:end w:w="100" w:type="dxa"/>
            </w:tcMar>
            <w:vAlign w:val="center"/>
          </w:tcPr>
          <w:p>
            <w:pPr>
              <w:keepLines/>
            </w:pPr>
            <w:r>
              <w:rPr>
                <w:sz w:val="16"/>
              </w:rPr>
              <w:t>First 3 hours</w:t>
            </w:r>
          </w:p>
        </w:tc>
        <w:tc>
          <w:tcPr>
            <w:tcW w:type="dxa" w:w="7992"/>
            <w:tcMar>
              <w:top w:w="80" w:type="dxa"/>
              <w:start w:w="100" w:type="dxa"/>
              <w:bottom w:w="80" w:type="dxa"/>
              <w:end w:w="100" w:type="dxa"/>
            </w:tcMar>
            <w:vAlign w:val="center"/>
          </w:tcPr>
          <w:p>
            <w:pPr>
              <w:keepLines/>
            </w:pPr>
            <w:r>
              <w:rPr>
                <w:sz w:val="16"/>
              </w:rPr>
              <w:t>Repository and secret baseline; Cloudflare observation configuration; architecture facts and release gates recorded. Detailed runbook follows.</w:t>
            </w:r>
          </w:p>
        </w:tc>
      </w:tr>
      <w:tr>
        <w:trPr>
          <w:cantSplit/>
        </w:trPr>
        <w:tc>
          <w:tcPr>
            <w:tcW w:type="dxa" w:w="1944"/>
            <w:tcMar>
              <w:top w:w="80" w:type="dxa"/>
              <w:start w:w="100" w:type="dxa"/>
              <w:bottom w:w="80" w:type="dxa"/>
              <w:end w:w="100" w:type="dxa"/>
            </w:tcMar>
            <w:vAlign w:val="center"/>
            <w:shd w:fill="F5F7F9"/>
          </w:tcPr>
          <w:p>
            <w:pPr>
              <w:keepLines/>
            </w:pPr>
            <w:r>
              <w:rPr>
                <w:sz w:val="16"/>
              </w:rPr>
              <w:t>Days 1–7</w:t>
            </w:r>
          </w:p>
        </w:tc>
        <w:tc>
          <w:tcPr>
            <w:tcW w:type="dxa" w:w="7992"/>
            <w:tcMar>
              <w:top w:w="80" w:type="dxa"/>
              <w:start w:w="100" w:type="dxa"/>
              <w:bottom w:w="80" w:type="dxa"/>
              <w:end w:w="100" w:type="dxa"/>
            </w:tcMar>
            <w:vAlign w:val="center"/>
            <w:shd w:fill="F5F7F9"/>
          </w:tcPr>
          <w:p>
            <w:pPr>
              <w:keepLines/>
            </w:pPr>
            <w:r>
              <w:rPr>
                <w:sz w:val="16"/>
              </w:rPr>
              <w:t>Payment idempotency and timeout state; outbound webhook protection; settlement-change design; tenant tests; centralised security alerts.</w:t>
            </w:r>
          </w:p>
        </w:tc>
      </w:tr>
      <w:tr>
        <w:trPr>
          <w:cantSplit/>
        </w:trPr>
        <w:tc>
          <w:tcPr>
            <w:tcW w:type="dxa" w:w="1944"/>
            <w:tcMar>
              <w:top w:w="80" w:type="dxa"/>
              <w:start w:w="100" w:type="dxa"/>
              <w:bottom w:w="80" w:type="dxa"/>
              <w:end w:w="100" w:type="dxa"/>
            </w:tcMar>
            <w:vAlign w:val="center"/>
          </w:tcPr>
          <w:p>
            <w:pPr>
              <w:keepLines/>
            </w:pPr>
            <w:r>
              <w:rPr>
                <w:sz w:val="16"/>
              </w:rPr>
              <w:t>Weeks 2–3</w:t>
            </w:r>
          </w:p>
        </w:tc>
        <w:tc>
          <w:tcPr>
            <w:tcW w:type="dxa" w:w="7992"/>
            <w:tcMar>
              <w:top w:w="80" w:type="dxa"/>
              <w:start w:w="100" w:type="dxa"/>
              <w:bottom w:w="80" w:type="dxa"/>
              <w:end w:w="100" w:type="dxa"/>
            </w:tcMar>
            <w:vAlign w:val="center"/>
          </w:tcPr>
          <w:p>
            <w:pPr>
              <w:keepLines/>
            </w:pPr>
            <w:r>
              <w:rPr>
                <w:sz w:val="16"/>
              </w:rPr>
              <w:t>Conditional RLS; audit outbox and retention lock; read/write MCP separation; approval service and atomic nonce consumption.</w:t>
            </w:r>
          </w:p>
        </w:tc>
      </w:tr>
      <w:tr>
        <w:trPr>
          <w:cantSplit/>
        </w:trPr>
        <w:tc>
          <w:tcPr>
            <w:tcW w:type="dxa" w:w="1944"/>
            <w:tcMar>
              <w:top w:w="80" w:type="dxa"/>
              <w:start w:w="100" w:type="dxa"/>
              <w:bottom w:w="80" w:type="dxa"/>
              <w:end w:w="100" w:type="dxa"/>
            </w:tcMar>
            <w:vAlign w:val="center"/>
            <w:shd w:fill="F5F7F9"/>
          </w:tcPr>
          <w:p>
            <w:pPr>
              <w:keepLines/>
            </w:pPr>
            <w:r>
              <w:rPr>
                <w:sz w:val="16"/>
              </w:rPr>
              <w:t>Before production MCP writes</w:t>
            </w:r>
          </w:p>
        </w:tc>
        <w:tc>
          <w:tcPr>
            <w:tcW w:type="dxa" w:w="7992"/>
            <w:tcMar>
              <w:top w:w="80" w:type="dxa"/>
              <w:start w:w="100" w:type="dxa"/>
              <w:bottom w:w="80" w:type="dxa"/>
              <w:end w:w="100" w:type="dxa"/>
            </w:tcMar>
            <w:vAlign w:val="center"/>
            <w:shd w:fill="F5F7F9"/>
          </w:tcPr>
          <w:p>
            <w:pPr>
              <w:keepLines/>
            </w:pPr>
            <w:r>
              <w:rPr>
                <w:sz w:val="16"/>
              </w:rPr>
              <w:t>Independent penetration test, remediation retest, kill-switch exercise, reconciliation exercise and formal release approval.</w:t>
            </w:r>
          </w:p>
        </w:tc>
      </w:tr>
    </w:tbl>
    <w:p>
      <w:pPr>
        <w:spacing w:after="20"/>
      </w:pPr>
    </w:p>
    <w:p>
      <w:r>
        <w:br w:type="page"/>
      </w:r>
    </w:p>
    <w:p>
      <w:pPr>
        <w:pStyle w:val="Heading1"/>
      </w:pPr>
      <w:r>
        <w:t>7 Three hour implementation runbook</w:t>
      </w:r>
    </w:p>
    <w:p>
      <w:r>
        <w:t>This runbook creates enforceable baseline controls without changing payment execution or enabling production MCP writes. Use an administrator account with MFA. Record screenshots or exported configuration as evidence. Stop and investigate if secret scanning finds live credentials.</w:t>
      </w:r>
    </w:p>
    <w:p>
      <w:pPr>
        <w:pStyle w:val="Heading2"/>
      </w:pPr>
      <w:r>
        <w:t>Step 1 Secure source and pull requests  0 to 60 minutes</w:t>
      </w:r>
    </w:p>
    <w:p>
      <w:r>
        <w:t>Goal: prevent new secrets and vulnerable changes from reaching protected branches.</w:t>
      </w:r>
    </w:p>
    <w:p>
      <w:pPr>
        <w:pStyle w:val="ListBullet"/>
        <w:spacing w:after="40"/>
      </w:pPr>
      <w:r>
        <w:t xml:space="preserve">☐ </w:t>
      </w:r>
      <w:r>
        <w:t>Inventory the repositories that deploy www.shabaas.com, dashboard.shabaas.com, api.shabaas.com, dev-api.shabaas.com, mcp.shabaas.com and mcp-staging.shabaas.com. Record repository visibility and production owner.</w:t>
      </w:r>
    </w:p>
    <w:p>
      <w:pPr>
        <w:pStyle w:val="ListBullet"/>
        <w:spacing w:after="40"/>
      </w:pPr>
      <w:r>
        <w:t xml:space="preserve">☐ </w:t>
      </w:r>
      <w:r>
        <w:t>In GitHub organisation settings, require MFA. Remove dormant owners and unnecessary external collaborators. Keep at least two controlled organisation owners.</w:t>
      </w:r>
    </w:p>
    <w:p>
      <w:pPr>
        <w:pStyle w:val="ListBullet"/>
        <w:spacing w:after="40"/>
      </w:pPr>
      <w:r>
        <w:t xml:space="preserve">☐ </w:t>
      </w:r>
      <w:r>
        <w:t>For each production repository, create a main-branch ruleset: pull request required; at least one approval; code-owner approval for workflow, authentication, payment and deployment paths; dismiss stale approvals; block force push and deletion; require status checks.</w:t>
      </w:r>
    </w:p>
    <w:p>
      <w:pPr>
        <w:pStyle w:val="ListBullet"/>
        <w:spacing w:after="40"/>
      </w:pPr>
      <w:r>
        <w:t xml:space="preserve">☐ </w:t>
      </w:r>
      <w:r>
        <w:t>Set default GitHub Actions token permission to read-only. Grant write permission only inside the specific job that needs it. Replace long-lived cloud credentials with Workload Identity or OIDC wherever current deployment supports it.</w:t>
      </w:r>
    </w:p>
    <w:p>
      <w:pPr>
        <w:pStyle w:val="ListBullet"/>
        <w:spacing w:after="40"/>
      </w:pPr>
      <w:r>
        <w:t xml:space="preserve">☐ </w:t>
      </w:r>
      <w:r>
        <w:t>Enable Dependabot alerts and security updates. Enable GitHub secret scanning and push protection where the repository and licence allow.</w:t>
      </w:r>
    </w:p>
    <w:p>
      <w:pPr>
        <w:pStyle w:val="ListBullet"/>
        <w:spacing w:after="40"/>
      </w:pPr>
      <w:r>
        <w:t xml:space="preserve">☐ </w:t>
      </w:r>
      <w:r>
        <w:t>Add TruffleHog to a local pre-commit or pre-push hook and CI. Run one verified history scan. If a live secret is found, revoke it before removing it from history; record owner, revocation time and affected environment.</w:t>
      </w:r>
    </w:p>
    <w:p>
      <w:pPr>
        <w:pStyle w:val="ListBullet"/>
        <w:spacing w:after="40"/>
      </w:pPr>
      <w:r>
        <w:t xml:space="preserve">☐ </w:t>
      </w:r>
      <w:r>
        <w:t>Add Semgrep OSS PR scanning. Add Trivy to repositories that build containers. Configure findings to fail only on agreed high-confidence/high-severity rules initially so developers cannot normalise noisy failures.</w:t>
      </w:r>
    </w:p>
    <w:p>
      <w:r>
        <w:t>Evidence to retain: repository list, ruleset export or screenshots, Actions permission setting, scanner workflow run, and any credential-rotation record.</w:t>
      </w:r>
    </w:p>
    <w:p>
      <w:pPr>
        <w:pStyle w:val="Heading2"/>
      </w:pPr>
      <w:r>
        <w:t>Step 2 Place Cloudflare in observe mode and verify origin paths  60 to 120 minutes</w:t>
      </w:r>
    </w:p>
    <w:p>
      <w:r>
        <w:t>Goal: establish visibility and safe ingress controls without blocking legitimate payments.</w:t>
      </w:r>
    </w:p>
    <w:p>
      <w:pPr>
        <w:pStyle w:val="ListBullet"/>
        <w:spacing w:after="40"/>
      </w:pPr>
      <w:r>
        <w:t xml:space="preserve">☐ </w:t>
      </w:r>
      <w:r>
        <w:t>List all production and staging DNS records. Confirm the website, dashboard, API and MCP records are proxied where technically supported. Record every origin hostname and direct provider URL.</w:t>
      </w:r>
    </w:p>
    <w:p>
      <w:pPr>
        <w:pStyle w:val="ListBullet"/>
        <w:spacing w:after="40"/>
      </w:pPr>
      <w:r>
        <w:t xml:space="preserve">☐ </w:t>
      </w:r>
      <w:r>
        <w:t>Confirm the Cloudflare contract exposes WAF managed rules, rate limiting, API Shield schema validation, log export and Authenticated Origin Pulls. Open an account-team request for any missing entitlement rather than assuming availability.</w:t>
      </w:r>
    </w:p>
    <w:p>
      <w:pPr>
        <w:pStyle w:val="ListBullet"/>
        <w:spacing w:after="40"/>
      </w:pPr>
      <w:r>
        <w:t xml:space="preserve">☐ </w:t>
      </w:r>
      <w:r>
        <w:t>Enable applicable Cloudflare managed WAF rules in Log or Simulate mode. Keep browser challenge rules away from machine-to-machine API and MCP routes.</w:t>
      </w:r>
    </w:p>
    <w:p>
      <w:pPr>
        <w:pStyle w:val="ListBullet"/>
        <w:spacing w:after="40"/>
      </w:pPr>
      <w:r>
        <w:t xml:space="preserve">☐ </w:t>
      </w:r>
      <w:r>
        <w:t>Upload the current OpenAPI schema for the intended environment. Start schema validation in Log mode. Exclude undocumented payment routes from blocking until the specification is complete and validated.</w:t>
      </w:r>
    </w:p>
    <w:p>
      <w:pPr>
        <w:pStyle w:val="ListBullet"/>
        <w:spacing w:after="40"/>
      </w:pPr>
      <w:r>
        <w:t xml:space="preserve">☐ </w:t>
      </w:r>
      <w:r>
        <w:t>Create narrow rate-limit observations for login, OTP, API authorisation, signup, payment creation, report export, MCP and webhook administration. Use per-principal or merchant identity where Cloudflare has a trustworthy signal; do not rely only on shared IP addresses.</w:t>
      </w:r>
    </w:p>
    <w:p>
      <w:pPr>
        <w:pStyle w:val="ListBullet"/>
        <w:spacing w:after="40"/>
      </w:pPr>
      <w:r>
        <w:t xml:space="preserve">☐ </w:t>
      </w:r>
      <w:r>
        <w:t>Test the public hostname and every known direct origin/provider hostname. The intended result is that protected origins reject or cannot serve production traffic outside Cloudflare. Do not enable mTLS until the origin has been configured and a rollback path exists.</w:t>
      </w:r>
    </w:p>
    <w:p>
      <w:pPr>
        <w:pStyle w:val="ListBullet"/>
        <w:spacing w:after="40"/>
      </w:pPr>
      <w:r>
        <w:t xml:space="preserve">☐ </w:t>
      </w:r>
      <w:r>
        <w:t>Export or bookmark WAF and schema events. Assign a named reviewer for the next seven days and a date for moving validated rules from Log to Block.</w:t>
      </w:r>
    </w:p>
    <w:p>
      <w:r>
        <w:t>Evidence to retain: DNS and origin inventory, entitlement confirmation, active log-mode rules, uploaded schema identifier, sample event and scheduled review date.</w:t>
      </w:r>
    </w:p>
    <w:p>
      <w:pPr>
        <w:pStyle w:val="Heading2"/>
      </w:pPr>
      <w:r>
        <w:t>Step 3 Establish release gates and create the engineering backlog  120 to 180 minutes</w:t>
      </w:r>
    </w:p>
    <w:p>
      <w:r>
        <w:t>Goal: stop unsafe production changes while the deeper controls are built.</w:t>
      </w:r>
    </w:p>
    <w:p>
      <w:pPr>
        <w:pStyle w:val="ListBullet"/>
        <w:spacing w:after="40"/>
      </w:pPr>
      <w:r>
        <w:t xml:space="preserve">☐ </w:t>
      </w:r>
      <w:r>
        <w:t>Confirm and record the production database engine, connection pooler, application runtime role, backend hosting, MCP authentication scheme and Cloud Run service accounts. Do not start RLS migration until these facts are known.</w:t>
      </w:r>
    </w:p>
    <w:p>
      <w:pPr>
        <w:pStyle w:val="ListBullet"/>
        <w:spacing w:after="40"/>
      </w:pPr>
      <w:r>
        <w:t xml:space="preserve">☐ </w:t>
      </w:r>
      <w:r>
        <w:t>Create P0 engineering tickets for deterministic idempotency; timeout reconciliation; outbound-webhook SSRF protection; settlement routing versions and dual approval; merchant/object authorisation tests; and the MCP write release gate.</w:t>
      </w:r>
    </w:p>
    <w:p>
      <w:pPr>
        <w:pStyle w:val="ListBullet"/>
        <w:spacing w:after="40"/>
      </w:pPr>
      <w:r>
        <w:t xml:space="preserve">☐ </w:t>
      </w:r>
      <w:r>
        <w:t>For the idempotency ticket, specify a unique merchant plus operation plus idempotency-key constraint, canonical request hash, stored response, processing state, exact-repeat behaviour and 409 changed-payload behaviour.</w:t>
      </w:r>
    </w:p>
    <w:p>
      <w:pPr>
        <w:pStyle w:val="ListBullet"/>
        <w:spacing w:after="40"/>
      </w:pPr>
      <w:r>
        <w:t xml:space="preserve">☐ </w:t>
      </w:r>
      <w:r>
        <w:t>For the MCP ticket, require separate read and write deployments; external human approval; Ed25519 verification; exact intent binding; under-five-minute expiry; database-backed atomic nonce consumption; per-merchant budgets; and backend revalidation.</w:t>
      </w:r>
    </w:p>
    <w:p>
      <w:pPr>
        <w:pStyle w:val="ListBullet"/>
        <w:spacing w:after="40"/>
      </w:pPr>
      <w:r>
        <w:t xml:space="preserve">☐ </w:t>
      </w:r>
      <w:r>
        <w:t>Create a temporary deployment policy: production MCP remains read-only; settlement-account changes use current manual independent verification; newly registered webhook endpoints are reviewed before activation; secrets found by scanning are rotated before release.</w:t>
      </w:r>
    </w:p>
    <w:p>
      <w:pPr>
        <w:pStyle w:val="ListBullet"/>
        <w:spacing w:after="40"/>
      </w:pPr>
      <w:r>
        <w:t xml:space="preserve">☐ </w:t>
      </w:r>
      <w:r>
        <w:t>Assign one accountable owner and due date to every P0 ticket. Define evidence required to close it, including tests under two merchant identities and connection-pool reuse where RLS applies.</w:t>
      </w:r>
    </w:p>
    <w:p>
      <w:pPr>
        <w:pStyle w:val="ListBullet"/>
        <w:spacing w:after="40"/>
      </w:pPr>
      <w:r>
        <w:t xml:space="preserve">☐ </w:t>
      </w:r>
      <w:r>
        <w:t>Schedule the first 30-minute security review within seven days. Review scan findings, Cloudflare logs, origin bypass status, high-risk ticket progress and any credentials rotated.</w:t>
      </w:r>
    </w:p>
    <w:p>
      <w:r>
        <w:t>Completion condition: all three release restrictions are recorded and owned—no production MCP payment execution, no unverified settlement routing change, and no unrestricted merchant webhook destination.</w:t>
      </w:r>
    </w:p>
    <w:p>
      <w:pPr>
        <w:pStyle w:val="Heading1"/>
      </w:pPr>
      <w:r>
        <w:t>8 Sources and pricing references</w:t>
      </w:r>
    </w:p>
    <w:p>
      <w:pPr>
        <w:pStyle w:val="ListBullet"/>
        <w:spacing w:after="40"/>
      </w:pPr>
      <w:hyperlink r:id="rId11">
        <w:r>
          <w:rPr>
            <w:color w:val="0563C1"/>
            <w:u w:val="single"/>
          </w:rPr>
          <w:t>GitHub Advanced Security products and public/private availability</w:t>
        </w:r>
      </w:hyperlink>
    </w:p>
    <w:p>
      <w:pPr>
        <w:pStyle w:val="ListBullet"/>
        <w:spacing w:after="40"/>
      </w:pPr>
      <w:hyperlink r:id="rId12">
        <w:r>
          <w:rPr>
            <w:color w:val="0563C1"/>
            <w:u w:val="single"/>
          </w:rPr>
          <w:t>GitHub Advanced Security billing by active committer</w:t>
        </w:r>
      </w:hyperlink>
    </w:p>
    <w:p>
      <w:pPr>
        <w:pStyle w:val="ListBullet"/>
        <w:spacing w:after="40"/>
      </w:pPr>
      <w:hyperlink r:id="rId13">
        <w:r>
          <w:rPr>
            <w:color w:val="0563C1"/>
            <w:u w:val="single"/>
          </w:rPr>
          <w:t>GitHub Advanced Security pricing</w:t>
        </w:r>
      </w:hyperlink>
    </w:p>
    <w:p>
      <w:pPr>
        <w:pStyle w:val="ListBullet"/>
        <w:spacing w:after="40"/>
      </w:pPr>
      <w:hyperlink r:id="rId14">
        <w:r>
          <w:rPr>
            <w:color w:val="0563C1"/>
            <w:u w:val="single"/>
          </w:rPr>
          <w:t>Cloudflare API Shield plans</w:t>
        </w:r>
      </w:hyperlink>
    </w:p>
    <w:p>
      <w:pPr>
        <w:pStyle w:val="ListBullet"/>
        <w:spacing w:after="40"/>
      </w:pPr>
      <w:hyperlink r:id="rId15">
        <w:r>
          <w:rPr>
            <w:color w:val="0563C1"/>
            <w:u w:val="single"/>
          </w:rPr>
          <w:t>Cloudflare schema validation</w:t>
        </w:r>
      </w:hyperlink>
    </w:p>
    <w:p>
      <w:pPr>
        <w:pStyle w:val="ListBullet"/>
        <w:spacing w:after="40"/>
      </w:pPr>
      <w:hyperlink r:id="rId16">
        <w:r>
          <w:rPr>
            <w:color w:val="0563C1"/>
            <w:u w:val="single"/>
          </w:rPr>
          <w:t>MCP security best practices</w:t>
        </w:r>
      </w:hyperlink>
    </w:p>
    <w:p>
      <w:pPr>
        <w:pStyle w:val="ListBullet"/>
        <w:spacing w:after="40"/>
      </w:pPr>
      <w:hyperlink r:id="rId17">
        <w:r>
          <w:rPr>
            <w:color w:val="0563C1"/>
            <w:u w:val="single"/>
          </w:rPr>
          <w:t>OWASP transaction authorisation</w:t>
        </w:r>
      </w:hyperlink>
    </w:p>
    <w:p>
      <w:pPr>
        <w:pStyle w:val="ListBullet"/>
        <w:spacing w:after="40"/>
      </w:pPr>
      <w:hyperlink r:id="rId18">
        <w:r>
          <w:rPr>
            <w:color w:val="0563C1"/>
            <w:u w:val="single"/>
          </w:rPr>
          <w:t>OWASP SSRF prevention</w:t>
        </w:r>
      </w:hyperlink>
    </w:p>
    <w:p>
      <w:pPr>
        <w:pStyle w:val="ListBullet"/>
        <w:spacing w:after="40"/>
      </w:pPr>
      <w:hyperlink r:id="rId19">
        <w:r>
          <w:rPr>
            <w:color w:val="0563C1"/>
            <w:u w:val="single"/>
          </w:rPr>
          <w:t>PostgreSQL row security</w:t>
        </w:r>
      </w:hyperlink>
    </w:p>
    <w:p>
      <w:pPr>
        <w:pStyle w:val="ListBullet"/>
        <w:spacing w:after="40"/>
      </w:pPr>
      <w:hyperlink r:id="rId20">
        <w:r>
          <w:rPr>
            <w:color w:val="0563C1"/>
            <w:u w:val="single"/>
          </w:rPr>
          <w:t>Google Cloud KMS pricing</w:t>
        </w:r>
      </w:hyperlink>
    </w:p>
    <w:p>
      <w:pPr>
        <w:pStyle w:val="ListBullet"/>
        <w:spacing w:after="40"/>
      </w:pPr>
      <w:hyperlink r:id="rId21">
        <w:r>
          <w:rPr>
            <w:color w:val="0563C1"/>
            <w:u w:val="single"/>
          </w:rPr>
          <w:t>Google Cloud Run pricing</w:t>
        </w:r>
      </w:hyperlink>
    </w:p>
    <w:p>
      <w:pPr>
        <w:pStyle w:val="ListBullet"/>
        <w:spacing w:after="40"/>
      </w:pPr>
      <w:hyperlink r:id="rId22">
        <w:r>
          <w:rPr>
            <w:color w:val="0563C1"/>
            <w:u w:val="single"/>
          </w:rPr>
          <w:t>Google Cloud Storage pricing</w:t>
        </w:r>
      </w:hyperlink>
    </w:p>
    <w:p>
      <w:pPr>
        <w:pStyle w:val="ListBullet"/>
        <w:spacing w:after="40"/>
      </w:pPr>
      <w:hyperlink r:id="rId23">
        <w:r>
          <w:rPr>
            <w:color w:val="0563C1"/>
            <w:u w:val="single"/>
          </w:rPr>
          <w:t>OAIC APP 11 guidance</w:t>
        </w:r>
      </w:hyperlink>
    </w:p>
    <w:p>
      <w:pPr>
        <w:pStyle w:val="ListBullet"/>
        <w:spacing w:after="40"/>
      </w:pPr>
      <w:hyperlink r:id="rId24">
        <w:r>
          <w:rPr>
            <w:color w:val="0563C1"/>
            <w:u w:val="single"/>
          </w:rPr>
          <w:t>APRA CPS 234</w:t>
        </w:r>
      </w:hyperlink>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implementation document  •  18 September 2026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570"/>
        <w:sz w:val="16"/>
      </w:rPr>
      <w:t>SHABAAS PAY  |  SECURITY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A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ithub.com/en/get-started/learning-about-github/about-github-advanced-security" TargetMode="External"/><Relationship Id="rId12" Type="http://schemas.openxmlformats.org/officeDocument/2006/relationships/hyperlink" Target="https://docs.github.com/en/billing/concepts/product-billing/github-advanced-security" TargetMode="External"/><Relationship Id="rId13" Type="http://schemas.openxmlformats.org/officeDocument/2006/relationships/hyperlink" Target="https://github.com/security/advanced-security" TargetMode="External"/><Relationship Id="rId14" Type="http://schemas.openxmlformats.org/officeDocument/2006/relationships/hyperlink" Target="https://developers.cloudflare.com/api-shield/plans/" TargetMode="External"/><Relationship Id="rId15" Type="http://schemas.openxmlformats.org/officeDocument/2006/relationships/hyperlink" Target="https://developers.cloudflare.com/api-shield/security/schema-validation/" TargetMode="External"/><Relationship Id="rId16" Type="http://schemas.openxmlformats.org/officeDocument/2006/relationships/hyperlink" Target="https://modelcontextprotocol.io/docs/draft/tutorials/security/security_best_practices" TargetMode="External"/><Relationship Id="rId17" Type="http://schemas.openxmlformats.org/officeDocument/2006/relationships/hyperlink" Target="https://cheatsheetseries.owasp.org/cheatsheets/Transaction_Authorization_Cheat_Sheet.html" TargetMode="External"/><Relationship Id="rId18" Type="http://schemas.openxmlformats.org/officeDocument/2006/relationships/hyperlink" Target="https://cheatsheetseries.owasp.org/cheatsheets/Server_Side_Request_Forgery_Prevention_Cheat_Sheet.html" TargetMode="External"/><Relationship Id="rId19" Type="http://schemas.openxmlformats.org/officeDocument/2006/relationships/hyperlink" Target="https://www.postgresql.org/docs/current/ddl-rowsecurity.html" TargetMode="External"/><Relationship Id="rId20" Type="http://schemas.openxmlformats.org/officeDocument/2006/relationships/hyperlink" Target="https://cloud.google.com/kms/pricing" TargetMode="External"/><Relationship Id="rId21" Type="http://schemas.openxmlformats.org/officeDocument/2006/relationships/hyperlink" Target="https://cloud.google.com/run/pricing" TargetMode="External"/><Relationship Id="rId22" Type="http://schemas.openxmlformats.org/officeDocument/2006/relationships/hyperlink" Target="https://cloud.google.com/storage/pricing" TargetMode="External"/><Relationship Id="rId23" Type="http://schemas.openxmlformats.org/officeDocument/2006/relationships/hyperlink" Target="https://www.oaic.gov.au/privacy/australian-privacy-principles/australian-privacy-principles-guidelines/chapter-11-app-11-security-of-personal-information" TargetMode="External"/><Relationship Id="rId24" Type="http://schemas.openxmlformats.org/officeDocument/2006/relationships/hyperlink" Target="https://www.apra.gov.au/standards/cps-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ShaBaas Pay Security Implementation Plan</dc:title>
  <dc:subject>Security architecture, providers, costs and three-hour implementation runbook</dc:subject>
  <dc:creator>ShaBaas Pay</dc:creator>
  <cp:keywords>security, payments, MCP, Cloudflare, GitHub,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