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20"/>
      </w:pPr>
      <w:r>
        <w:t xml:space="preserve">FINANCE THEORY MASTER SHEET</w:t>
      </w:r>
    </w:p>
    <w:p/>
    <w:p>
      <w:pPr>
        <w:pBdr>
          <w:bottom w:val="single" w:color="000000" w:sz="6"/>
        </w:pBdr>
      </w:pPr>
    </w:p>
    <w:p/>
    <w:p>
      <w:pPr>
        <w:pStyle w:val="Heading2"/>
        <w:spacing w:before="240" w:after="120"/>
      </w:pPr>
      <w:r>
        <w:t xml:space="preserve">PART 1: MIDTERM-1 SYLLABUS</w:t>
      </w:r>
    </w:p>
    <w:p/>
    <w:p>
      <w:pPr>
        <w:pStyle w:val="Heading3"/>
        <w:spacing w:before="240" w:after="120"/>
      </w:pPr>
      <w:r>
        <w:t xml:space="preserve">1. Core Financial Decision Functions</w:t>
      </w:r>
    </w:p>
    <w:p/>
    <w:p/>
    <w:p>
      <w:pPr>
        <w:spacing w:after="120"/>
      </w:pPr>
      <w:r>
        <w:rPr>
          <w:b/>
          <w:bCs/>
          <w:color w:val="000000"/>
        </w:rPr>
        <w:t xml:space="preserve">Investment Decisions:</w:t>
      </w:r>
      <w:r>
        <w:rPr>
          <w:color w:val="000000"/>
        </w:rPr>
        <w:t xml:space="preserve"> Governing the asset composition on the left-hand side of the balance sheet . It determines total assets, the mix of current vs. non-current assets, and choices regarding asset replacement, reduction, or elimination (disinvestment) .</w:t>
      </w:r>
    </w:p>
    <w:p/>
    <w:p/>
    <w:p/>
    <w:p>
      <w:pPr>
        <w:spacing w:after="120"/>
      </w:pPr>
      <w:r>
        <w:rPr>
          <w:b/>
          <w:bCs/>
          <w:color w:val="000000"/>
        </w:rPr>
        <w:t xml:space="preserve">Financing Decisions:</w:t>
      </w:r>
      <w:r>
        <w:rPr>
          <w:color w:val="000000"/>
        </w:rPr>
        <w:t xml:space="preserve"> Building the financial mix on the right-hand side of the balance sheet . It determines the optimal strategic blend of Debt (short-term or long-term borrowing) versus Equity (retained earnings or issuing common stock)</w:t>
      </w:r>
    </w:p>
    <w:p/>
    <w:p/>
    <w:p/>
    <w:p>
      <w:pPr>
        <w:spacing w:after="120"/>
      </w:pPr>
      <w:r>
        <w:rPr>
          <w:b/>
          <w:bCs/>
          <w:color w:val="000000"/>
        </w:rPr>
        <w:t xml:space="preserve">Asset Management Decisions:</w:t>
      </w:r>
      <w:r>
        <w:rPr>
          <w:color w:val="000000"/>
        </w:rPr>
        <w:t xml:space="preserve"> Allocating operational accountability once assets are acquired . The Finance Manager directly manages short-term current assets, while Operating Managers run long-term fixed assets .</w:t>
      </w:r>
    </w:p>
    <w:p/>
    <w:p/>
    <w:p/>
    <w:p>
      <w:pPr>
        <w:pStyle w:val="Heading3"/>
        <w:spacing w:before="240" w:after="120"/>
      </w:pPr>
      <w:r>
        <w:t xml:space="preserve">2. The Goal of the Firm</w:t>
      </w:r>
    </w:p>
    <w:p/>
    <w:p>
      <w:pPr>
        <w:spacing w:after="120"/>
      </w:pPr>
      <w:r>
        <w:rPr>
          <w:color w:val="000000"/>
        </w:rPr>
        <w:t xml:space="preserve"> </w:t>
      </w:r>
    </w:p>
    <w:p>
      <w:pPr>
        <w:spacing w:after="120"/>
      </w:pPr>
      <w:r>
        <w:rPr>
          <w:b/>
          <w:bCs/>
          <w:color w:val="000000"/>
        </w:rPr>
        <w:t xml:space="preserve">Profit Maximization:</w:t>
      </w:r>
      <w:r>
        <w:rPr>
          <w:color w:val="000000"/>
        </w:rPr>
        <w:t xml:space="preserve"> Focuses narrowly on short-term accounting Earnings After Tax (EAT) . It completely ignores risk, fails to consider the timing/duration of cash returns, and can be easily distorted by accounting choices.</w:t>
      </w:r>
    </w:p>
    <w:p/>
    <w:p/>
    <w:p>
      <w:pPr>
        <w:spacing w:after="120"/>
      </w:pPr>
      <w:r>
        <w:rPr>
          <w:color w:val="000000"/>
        </w:rPr>
        <w:t xml:space="preserve"> </w:t>
      </w:r>
    </w:p>
    <w:p>
      <w:pPr>
        <w:spacing w:after="120"/>
      </w:pPr>
      <w:r>
        <w:rPr>
          <w:b/>
          <w:bCs/>
          <w:color w:val="000000"/>
        </w:rPr>
        <w:t xml:space="preserve">Shareholder Wealth Maximization:</w:t>
      </w:r>
      <w:r>
        <w:rPr>
          <w:color w:val="000000"/>
        </w:rPr>
        <w:t xml:space="preserve"> The ultimate goal of financial management . It uses the market price per share as a continuous barometer of value, comprehensively reflecting timing, duration, long-term risk, and dividend distributions .</w:t>
      </w:r>
    </w:p>
    <w:p/>
    <w:p/>
    <w:p/>
    <w:p>
      <w:pPr>
        <w:pStyle w:val="Heading3"/>
        <w:spacing w:before="240" w:after="120"/>
      </w:pPr>
      <w:r>
        <w:t xml:space="preserve">3. Corporate Architecture &amp; Governance</w:t>
      </w:r>
    </w:p>
    <w:p/>
    <w:p>
      <w:pPr>
        <w:pStyle w:val="ListParagraph"/>
        <w:numPr>
          <w:ilvl w:val="0"/>
          <w:numId w:val="1"/>
        </w:numPr>
      </w:pPr>
      <w:r>
        <w:rPr>
          <w:b/>
          <w:bCs/>
          <w:color w:val="000000"/>
        </w:rPr>
        <w:t xml:space="preserve">Sole Proprietorship:</w:t>
      </w:r>
      <w:r>
        <w:rPr>
          <w:color w:val="000000"/>
        </w:rPr>
        <w:t xml:space="preserve"> Owned and managed by a single individual. Simple to establish but carries unlimited liability, meaning personal assets are legally exposed to settle business debts.</w:t>
      </w:r>
    </w:p>
    <w:p>
      <w:pPr>
        <w:pStyle w:val="ListParagraph"/>
        <w:numPr>
          <w:ilvl w:val="0"/>
          <w:numId w:val="1"/>
        </w:numPr>
      </w:pPr>
      <w:r>
        <w:rPr>
          <w:b/>
          <w:bCs/>
          <w:color w:val="000000"/>
        </w:rPr>
        <w:t xml:space="preserve">Partnership:</w:t>
      </w:r>
      <w:r>
        <w:rPr>
          <w:color w:val="000000"/>
        </w:rPr>
        <w:t xml:space="preserve"> Owned by two or more individuals bound by a contractual agreement. Partners share operating profits/losses and carry joint unlimited liability.</w:t>
      </w:r>
    </w:p>
    <w:p>
      <w:pPr>
        <w:pStyle w:val="ListParagraph"/>
        <w:numPr>
          <w:ilvl w:val="0"/>
          <w:numId w:val="1"/>
        </w:numPr>
      </w:pPr>
      <w:r>
        <w:rPr>
          <w:b/>
          <w:bCs/>
          <w:color w:val="000000"/>
        </w:rPr>
        <w:t xml:space="preserve">Corporation (Company): A legal entity entirely separate from its individual shareowners.</w:t>
      </w:r>
    </w:p>
    <w:p>
      <w:pPr>
        <w:pStyle w:val="ListParagraph"/>
        <w:numPr>
          <w:ilvl w:val="0"/>
          <w:numId w:val="1"/>
        </w:numPr>
      </w:pPr>
      <w:r>
        <w:rPr>
          <w:i/>
          <w:iCs/>
          <w:color w:val="000000"/>
        </w:rPr>
        <w:t xml:space="preserve">Advantage:</w:t>
      </w:r>
      <w:r>
        <w:rPr>
          <w:color w:val="000000"/>
        </w:rPr>
        <w:t xml:space="preserve"> Limited Liability protects personal wealth; shareholders risk only their direct capital investment.</w:t>
      </w:r>
    </w:p>
    <w:p>
      <w:pPr>
        <w:pStyle w:val="ListParagraph"/>
        <w:numPr>
          <w:ilvl w:val="0"/>
          <w:numId w:val="1"/>
        </w:numPr>
      </w:pPr>
      <w:r>
        <w:rPr>
          <w:i/>
          <w:iCs/>
          <w:color w:val="000000"/>
        </w:rPr>
        <w:t xml:space="preserve">Disadvantage:</w:t>
      </w:r>
      <w:r>
        <w:rPr>
          <w:color w:val="000000"/>
        </w:rPr>
        <w:t xml:space="preserve"> Double Taxation forces profits to be taxed first at the corporate level and taxed a second time as personal dividend income.</w:t>
      </w:r>
    </w:p>
    <w:p>
      <w:pPr>
        <w:pStyle w:val="ListParagraph"/>
        <w:numPr>
          <w:ilvl w:val="0"/>
          <w:numId w:val="1"/>
        </w:numPr>
      </w:pPr>
      <w:r>
        <w:rPr>
          <w:i/>
          <w:iCs/>
          <w:color w:val="000000"/>
        </w:rPr>
        <w:t xml:space="preserve">Public vs. Private:</w:t>
      </w:r>
      <w:r>
        <w:rPr>
          <w:color w:val="000000"/>
        </w:rPr>
        <w:t xml:space="preserve"> Private companies restrict share ownership and cannot trade publicly. Public companies sell shares to the general public under rigid regulatory oversight.</w:t>
      </w:r>
    </w:p>
    <w:p/>
    <w:p/>
    <w:p>
      <w:pPr>
        <w:spacing w:after="120"/>
      </w:pPr>
      <w:r>
        <w:rPr>
          <w:color w:val="000000"/>
        </w:rPr>
        <w:t xml:space="preserve"> </w:t>
      </w:r>
    </w:p>
    <w:p>
      <w:pPr>
        <w:spacing w:after="120"/>
      </w:pPr>
      <w:r>
        <w:rPr>
          <w:b/>
          <w:bCs/>
          <w:color w:val="000000"/>
        </w:rPr>
        <w:t xml:space="preserve">Agency Relationship:</w:t>
      </w:r>
      <w:r>
        <w:rPr>
          <w:color w:val="000000"/>
        </w:rPr>
        <w:t xml:space="preserve"> A contract where asset owners (Principal) authorize managers (Agent) to run the daily business operations . Conflicts emerge when their goals diverge due to misaligned incentives.</w:t>
      </w:r>
    </w:p>
    <w:p/>
    <w:p/>
    <w:p>
      <w:pPr>
        <w:spacing w:after="120"/>
      </w:pPr>
      <w:r>
        <w:rPr>
          <w:color w:val="000000"/>
        </w:rPr>
        <w:t xml:space="preserve"> </w:t>
      </w:r>
    </w:p>
    <w:p>
      <w:pPr>
        <w:spacing w:after="120"/>
      </w:pPr>
      <w:r>
        <w:rPr>
          <w:b/>
          <w:bCs/>
          <w:color w:val="000000"/>
        </w:rPr>
        <w:t xml:space="preserve">Type I Agency Problem:</w:t>
      </w:r>
      <w:r>
        <w:rPr>
          <w:color w:val="000000"/>
        </w:rPr>
        <w:t xml:space="preserve"> Arises from information asymmetry between corporate managers and external public shareholders . Managers may provide misleading reporting for personal gain.</w:t>
      </w:r>
    </w:p>
    <w:p/>
    <w:p/>
    <w:p>
      <w:pPr>
        <w:spacing w:after="120"/>
      </w:pPr>
      <w:r>
        <w:rPr>
          <w:color w:val="000000"/>
        </w:rPr>
        <w:t xml:space="preserve"> </w:t>
      </w:r>
    </w:p>
    <w:p>
      <w:pPr>
        <w:spacing w:after="120"/>
      </w:pPr>
      <w:r>
        <w:rPr>
          <w:b/>
          <w:bCs/>
          <w:color w:val="000000"/>
        </w:rPr>
        <w:t xml:space="preserve">Type II Agency Problem:</w:t>
      </w:r>
      <w:r>
        <w:rPr>
          <w:color w:val="000000"/>
        </w:rPr>
        <w:t xml:space="preserve"> Occurs when dominant, controlling shareholders expropriate wealth directly away from minority shareholders or bank creditors .</w:t>
      </w:r>
    </w:p>
    <w:p/>
    <w:p/>
    <w:p/>
    <w:p/>
    <w:p/>
    <w:p>
      <w:pPr>
        <w:pStyle w:val="Heading3"/>
        <w:spacing w:before="240" w:after="120"/>
      </w:pPr>
      <w:r>
        <w:t xml:space="preserve">4. Short-Term Liquidity Ratios</w:t>
      </w:r>
    </w:p>
    <w:p/>
    <w:p>
      <w:pPr>
        <w:spacing w:after="120"/>
      </w:pPr>
      <w:r>
        <w:rPr>
          <w:color w:val="000000"/>
        </w:rPr>
        <w:t xml:space="preserve"> </w:t>
      </w:r>
    </w:p>
    <w:p>
      <w:pPr>
        <w:spacing w:after="120"/>
      </w:pPr>
      <w:r>
        <w:rPr>
          <w:b/>
          <w:bCs/>
          <w:color w:val="000000"/>
        </w:rPr>
        <w:t xml:space="preserve">Current Ratio:</w:t>
      </w:r>
      <w:r>
        <w:rPr>
          <w:color w:val="000000"/>
        </w:rPr>
        <w:t xml:space="preserve"> Measures a firm's general ability to cover its short-term obligations using total current assets.</w:t>
      </w:r>
    </w:p>
    <w:p/>
    <w:p/>
    <w:p>
      <w:pPr>
        <w:spacing w:after="120"/>
      </w:pPr>
      <w:r>
        <w:rPr>
          <w:color w:val="000000"/>
        </w:rPr>
        <w:t xml:space="preserve"> </w:t>
      </w:r>
    </w:p>
    <w:p>
      <w:pPr>
        <w:spacing w:after="120"/>
      </w:pPr>
      <w:r>
        <w:rPr>
          <w:b/>
          <w:bCs/>
          <w:color w:val="000000"/>
        </w:rPr>
        <w:t xml:space="preserve">Quick Ratio (Acid-Test):</w:t>
      </w:r>
      <w:r>
        <w:rPr>
          <w:color w:val="000000"/>
        </w:rPr>
        <w:t xml:space="preserve"> A strict liquidity test evaluating obligations against assets that can convert to cash immediately, excluding slow-moving inventory and prepaid expenses .</w:t>
      </w:r>
    </w:p>
    <w:p/>
    <w:p/>
    <w:p/>
    <w:p>
      <w:pPr>
        <w:spacing w:after="120"/>
      </w:pPr>
      <w:r>
        <w:rPr>
          <w:color w:val="000000"/>
        </w:rPr>
        <w:t xml:space="preserve">Quick Assets = Current Assets - Inventory + Prepaid Expense</w:t>
      </w:r>
    </w:p>
    <w:p/>
    <w:p>
      <w:pPr>
        <w:spacing w:after="120"/>
      </w:pPr>
      <w:r>
        <w:rPr>
          <w:color w:val="000000"/>
        </w:rPr>
        <w:t xml:space="preserve"> </w:t>
      </w:r>
    </w:p>
    <w:p>
      <w:pPr>
        <w:spacing w:after="120"/>
      </w:pPr>
      <w:r>
        <w:rPr>
          <w:b/>
          <w:bCs/>
          <w:color w:val="000000"/>
        </w:rPr>
        <w:t xml:space="preserve">Cash Ratio:</w:t>
      </w:r>
      <w:r>
        <w:rPr>
          <w:color w:val="000000"/>
        </w:rPr>
        <w:t xml:space="preserve"> The ultimate strict liquidity metric, evaluating current liabilities solely against immediately available cash, cash equivalents, and marketable securities.</w:t>
      </w:r>
    </w:p>
    <w:p/>
    <w:p/>
    <w:p/>
    <w:p>
      <w:pPr>
        <w:pStyle w:val="Heading3"/>
        <w:spacing w:before="240" w:after="120"/>
      </w:pPr>
      <w:r>
        <w:t xml:space="preserve">5. Activity &amp; Efficiency Ratios</w:t>
      </w:r>
    </w:p>
    <w:p/>
    <w:p>
      <w:pPr>
        <w:spacing w:after="120"/>
      </w:pPr>
      <w:r>
        <w:rPr>
          <w:color w:val="000000"/>
        </w:rPr>
        <w:t xml:space="preserve"> </w:t>
      </w:r>
    </w:p>
    <w:p>
      <w:pPr>
        <w:spacing w:after="120"/>
      </w:pPr>
      <w:r>
        <w:rPr>
          <w:b/>
          <w:bCs/>
          <w:color w:val="000000"/>
        </w:rPr>
        <w:t xml:space="preserve">Accounts Receivable Turnover:</w:t>
      </w:r>
      <w:r>
        <w:rPr>
          <w:color w:val="000000"/>
        </w:rPr>
        <w:t xml:space="preserve"> Measures how frequently a company collects its average accounts receivable balance over a year . A higher turnover indicates an efficient collection department and shorter lag times.</w:t>
      </w:r>
    </w:p>
    <w:p/>
    <w:p/>
    <w:p>
      <w:pPr>
        <w:spacing w:after="120"/>
      </w:pPr>
      <w:r>
        <w:rPr>
          <w:color w:val="000000"/>
        </w:rPr>
        <w:t xml:space="preserve"> </w:t>
      </w:r>
    </w:p>
    <w:p>
      <w:pPr>
        <w:spacing w:after="120"/>
      </w:pPr>
      <w:r>
        <w:rPr>
          <w:b/>
          <w:bCs/>
          <w:color w:val="000000"/>
        </w:rPr>
        <w:t xml:space="preserve">Inventory Turnover:</w:t>
      </w:r>
      <w:r>
        <w:rPr>
          <w:color w:val="000000"/>
        </w:rPr>
        <w:t xml:space="preserve"> Measures how many times inventory is sold and replenished throughout a period . Low turnover points to overstocking, obsolete inventory, tied-up capital, and elevated storage costs.</w:t>
      </w:r>
    </w:p>
    <w:p/>
    <w:p/>
    <w:p>
      <w:pPr>
        <w:pStyle w:val="ListParagraph"/>
        <w:numPr>
          <w:ilvl w:val="0"/>
          <w:numId w:val="1"/>
        </w:numPr>
      </w:pPr>
      <w:r>
        <w:rPr>
          <w:b/>
          <w:bCs/>
          <w:color w:val="000000"/>
        </w:rPr>
        <w:t xml:space="preserve">Operating Cycle:</w:t>
      </w:r>
      <w:r>
        <w:rPr>
          <w:color w:val="000000"/>
        </w:rPr>
        <w:t xml:space="preserve"> The total elapsed time in days between acquiring raw inventory and realizing cash from subsequent customer collections.</w:t>
      </w:r>
    </w:p>
    <w:p/>
    <w:p>
      <w:pPr>
        <w:spacing w:after="120"/>
      </w:pPr>
      <w:r>
        <w:rPr>
          <w:color w:val="000000"/>
        </w:rPr>
        <w:t xml:space="preserve">Operating Cycle = Receivable Days + Inventory Days</w:t>
      </w:r>
    </w:p>
    <w:p/>
    <w:p/>
    <w:p>
      <w:pPr>
        <w:spacing w:after="120"/>
      </w:pPr>
      <w:r>
        <w:rPr>
          <w:b/>
          <w:bCs/>
          <w:color w:val="000000"/>
        </w:rPr>
        <w:t xml:space="preserve">Cash Cycle (Cash Conversion Cycle):</w:t>
      </w:r>
      <w:r>
        <w:rPr>
          <w:color w:val="000000"/>
        </w:rPr>
        <w:t xml:space="preserve"> The net time gap in days during which corporate cash is tied up in operations, factoring in the credit cushion provided by suppliers .</w:t>
      </w:r>
    </w:p>
    <w:p/>
    <w:p/>
    <w:p/>
    <w:p>
      <w:pPr>
        <w:spacing w:after="120"/>
      </w:pPr>
      <w:r>
        <w:rPr>
          <w:color w:val="000000"/>
        </w:rPr>
        <w:t xml:space="preserve">Cash Cycle = Receivable Days + Inventory Days - Payable Days</w:t>
      </w:r>
    </w:p>
    <w:p/>
    <w:p/>
    <w:p/>
    <w:p>
      <w:pPr>
        <w:pBdr>
          <w:bottom w:val="single" w:color="000000" w:sz="6"/>
        </w:pBdr>
      </w:pPr>
    </w:p>
    <w:p/>
    <w:p>
      <w:pPr>
        <w:pStyle w:val="Heading2"/>
        <w:spacing w:before="240" w:after="120"/>
      </w:pPr>
      <w:r>
        <w:t xml:space="preserve">PART 2: MIDTERM-2 SYLLABUS</w:t>
      </w:r>
    </w:p>
    <w:p/>
    <w:p>
      <w:pPr>
        <w:pStyle w:val="Heading3"/>
        <w:spacing w:before="240" w:after="120"/>
      </w:pPr>
      <w:r>
        <w:t xml:space="preserve">1. Time Value of Money (TVM) Foundations</w:t>
      </w:r>
    </w:p>
    <w:p/>
    <w:p>
      <w:pPr>
        <w:pStyle w:val="ListParagraph"/>
        <w:numPr>
          <w:ilvl w:val="0"/>
          <w:numId w:val="1"/>
        </w:numPr>
      </w:pPr>
      <w:r>
        <w:rPr>
          <w:b/>
          <w:bCs/>
          <w:color w:val="000000"/>
        </w:rPr>
        <w:t xml:space="preserve">Time Value of Money Concept:</w:t>
      </w:r>
      <w:r>
        <w:rPr>
          <w:color w:val="000000"/>
        </w:rPr>
        <w:t xml:space="preserve"> The principle that a dollar received today is worth more than a dollar received tomorrow because today's cash can immediately be put to work earning interest. It allows managers to adjust cash flows to a single point in time for valid comparison .</w:t>
      </w:r>
    </w:p>
    <w:p/>
    <w:p/>
    <w:p>
      <w:pPr>
        <w:spacing w:after="120"/>
      </w:pPr>
      <w:r>
        <w:rPr>
          <w:color w:val="000000"/>
        </w:rPr>
        <w:t xml:space="preserve"> </w:t>
      </w:r>
    </w:p>
    <w:p>
      <w:pPr>
        <w:spacing w:after="120"/>
      </w:pPr>
      <w:r>
        <w:rPr>
          <w:b/>
          <w:bCs/>
          <w:color w:val="000000"/>
        </w:rPr>
        <w:t xml:space="preserve">Simple vs. Compound Interest:</w:t>
      </w:r>
      <w:r>
        <w:rPr>
          <w:color w:val="000000"/>
        </w:rPr>
        <w:t xml:space="preserve"> Simple interest is computed strictly on the original principal amount . Compound interest computes interest on both the principal and the accumulated interest earned over prior periods ("interest on interest") .</w:t>
      </w:r>
    </w:p>
    <w:p/>
    <w:p/>
    <w:p>
      <w:pPr>
        <w:spacing w:after="120"/>
      </w:pPr>
      <w:r>
        <w:rPr>
          <w:color w:val="000000"/>
        </w:rPr>
        <w:t xml:space="preserve"> </w:t>
      </w:r>
    </w:p>
    <w:p>
      <w:pPr>
        <w:spacing w:after="120"/>
      </w:pPr>
      <w:r>
        <w:rPr>
          <w:b/>
          <w:bCs/>
          <w:color w:val="000000"/>
        </w:rPr>
        <w:t xml:space="preserve">Discount Factor:</w:t>
      </w:r>
      <w:r>
        <w:rPr>
          <w:color w:val="000000"/>
        </w:rPr>
        <w:t xml:space="preserve"> The specific algebraic expression, 1 / (1 + r) ^n, used to determine the present value of a single dollar received in the future .</w:t>
      </w:r>
    </w:p>
    <w:p/>
    <w:p/>
    <w:p>
      <w:pPr>
        <w:pStyle w:val="ListParagraph"/>
        <w:numPr>
          <w:ilvl w:val="0"/>
          <w:numId w:val="1"/>
        </w:numPr>
      </w:pPr>
      <w:r>
        <w:rPr>
          <w:b/>
          <w:bCs/>
          <w:color w:val="000000"/>
        </w:rPr>
        <w:t xml:space="preserve">Annuity Structures:</w:t>
      </w:r>
    </w:p>
    <w:p>
      <w:pPr>
        <w:spacing w:after="120"/>
      </w:pPr>
      <w:r>
        <w:rPr>
          <w:color w:val="000000"/>
        </w:rPr>
        <w:t xml:space="preserve"> </w:t>
      </w:r>
    </w:p>
    <w:p>
      <w:pPr>
        <w:spacing w:after="120"/>
      </w:pPr>
      <w:r>
        <w:rPr>
          <w:b/>
          <w:bCs/>
          <w:color w:val="000000"/>
        </w:rPr>
        <w:t xml:space="preserve">Annuity:</w:t>
      </w:r>
      <w:r>
        <w:rPr>
          <w:color w:val="000000"/>
        </w:rPr>
        <w:t xml:space="preserve"> A consecutive series of equal cash payments or receipts spanning a specific number of periods .</w:t>
      </w:r>
    </w:p>
    <w:p/>
    <w:p/>
    <w:p>
      <w:pPr>
        <w:spacing w:after="120"/>
      </w:pPr>
      <w:r>
        <w:rPr>
          <w:color w:val="000000"/>
        </w:rPr>
        <w:t xml:space="preserve"> </w:t>
      </w:r>
    </w:p>
    <w:p>
      <w:pPr>
        <w:spacing w:after="120"/>
      </w:pPr>
      <w:r>
        <w:rPr>
          <w:b/>
          <w:bCs/>
          <w:color w:val="000000"/>
        </w:rPr>
        <w:t xml:space="preserve">Ordinary Annuity:</w:t>
      </w:r>
      <w:r>
        <w:rPr>
          <w:color w:val="000000"/>
        </w:rPr>
        <w:t xml:space="preserve"> Equal cash streams occurring explicitly at the end of each period .</w:t>
      </w:r>
    </w:p>
    <w:p/>
    <w:p/>
    <w:p>
      <w:pPr>
        <w:spacing w:after="120"/>
      </w:pPr>
      <w:r>
        <w:rPr>
          <w:color w:val="000000"/>
        </w:rPr>
        <w:t xml:space="preserve"> </w:t>
      </w:r>
    </w:p>
    <w:p>
      <w:pPr>
        <w:spacing w:after="120"/>
      </w:pPr>
      <w:r>
        <w:rPr>
          <w:b/>
          <w:bCs/>
          <w:color w:val="000000"/>
        </w:rPr>
        <w:t xml:space="preserve">Annuity Due:</w:t>
      </w:r>
      <w:r>
        <w:rPr>
          <w:color w:val="000000"/>
        </w:rPr>
        <w:t xml:space="preserve"> Equal cash streams occurring explicitly at the beginning of each period .</w:t>
      </w:r>
    </w:p>
    <w:p/>
    <w:p/>
    <w:p>
      <w:pPr>
        <w:spacing w:after="120"/>
      </w:pPr>
      <w:r>
        <w:rPr>
          <w:color w:val="000000"/>
        </w:rPr>
        <w:t xml:space="preserve"> </w:t>
      </w:r>
    </w:p>
    <w:p>
      <w:pPr>
        <w:spacing w:after="120"/>
      </w:pPr>
      <w:r>
        <w:rPr>
          <w:b/>
          <w:bCs/>
          <w:color w:val="000000"/>
        </w:rPr>
        <w:t xml:space="preserve">Perpetuity:</w:t>
      </w:r>
      <w:r>
        <w:rPr>
          <w:color w:val="000000"/>
        </w:rPr>
        <w:t xml:space="preserve"> An ordinary annuity with an equal cash stream that continues forever .</w:t>
      </w:r>
    </w:p>
    <w:p/>
    <w:p/>
    <w:p/>
    <w:p/>
    <w:p>
      <w:pPr>
        <w:spacing w:after="120"/>
      </w:pPr>
      <w:r>
        <w:rPr>
          <w:color w:val="000000"/>
        </w:rPr>
        <w:t xml:space="preserve"> </w:t>
      </w:r>
    </w:p>
    <w:p>
      <w:pPr>
        <w:spacing w:after="120"/>
      </w:pPr>
      <w:r>
        <w:rPr>
          <w:b/>
          <w:bCs/>
          <w:color w:val="000000"/>
        </w:rPr>
        <w:t xml:space="preserve">Amortization Schedule:</w:t>
      </w:r>
      <w:r>
        <w:rPr>
          <w:color w:val="000000"/>
        </w:rPr>
        <w:t xml:space="preserve"> A tabular breakdown detailing the exact periodic interest and principal payments required to completely pay off a loan balance by its maturity date .</w:t>
      </w:r>
    </w:p>
    <w:p/>
    <w:p/>
    <w:p/>
    <w:p>
      <w:pPr>
        <w:pStyle w:val="Heading3"/>
        <w:spacing w:before="240" w:after="120"/>
      </w:pPr>
      <w:r>
        <w:t xml:space="preserve">2. Cost of Capital Core Theory</w:t>
      </w:r>
    </w:p>
    <w:p/>
    <w:p>
      <w:pPr>
        <w:pStyle w:val="ListParagraph"/>
        <w:numPr>
          <w:ilvl w:val="0"/>
          <w:numId w:val="1"/>
        </w:numPr>
      </w:pPr>
      <w:r>
        <w:rPr>
          <w:b/>
          <w:bCs/>
          <w:color w:val="000000"/>
        </w:rPr>
        <w:t xml:space="preserve">Fundamental Concept:</w:t>
      </w:r>
      <w:r>
        <w:rPr>
          <w:color w:val="000000"/>
        </w:rPr>
        <w:t xml:space="preserve"> The minimum required rate of return a firm must generate on its asset base to satisfy the risk demands of its debt and equity investors. It acts as the operational hurdle rate linking project investments to corporate value.</w:t>
      </w:r>
    </w:p>
    <w:p>
      <w:pPr>
        <w:pStyle w:val="ListParagraph"/>
        <w:numPr>
          <w:ilvl w:val="0"/>
          <w:numId w:val="1"/>
        </w:numPr>
      </w:pPr>
      <w:r>
        <w:rPr>
          <w:b/>
          <w:bCs/>
          <w:color w:val="000000"/>
        </w:rPr>
        <w:t xml:space="preserve">Pecking Order Theory:</w:t>
      </w:r>
      <w:r>
        <w:rPr>
          <w:color w:val="000000"/>
        </w:rPr>
        <w:t xml:space="preserve"> The preference hierarchy firms follow when financing new projects to avoid information gaps:</w:t>
      </w:r>
    </w:p>
    <w:p>
      <w:pPr>
        <w:pStyle w:val="ListParagraph"/>
        <w:numPr>
          <w:ilvl w:val="0"/>
          <w:numId w:val="2"/>
        </w:numPr>
      </w:pPr>
      <w:r>
        <w:rPr>
          <w:color w:val="000000"/>
        </w:rPr>
        <w:t xml:space="preserve">Internal Funds (Retained Earnings)</w:t>
      </w:r>
    </w:p>
    <w:p>
      <w:pPr>
        <w:pStyle w:val="ListParagraph"/>
        <w:numPr>
          <w:ilvl w:val="0"/>
          <w:numId w:val="2"/>
        </w:numPr>
      </w:pPr>
      <w:r>
        <w:rPr>
          <w:color w:val="000000"/>
        </w:rPr>
        <w:t xml:space="preserve">Debt</w:t>
      </w:r>
    </w:p>
    <w:p>
      <w:pPr>
        <w:pStyle w:val="ListParagraph"/>
        <w:numPr>
          <w:ilvl w:val="0"/>
          <w:numId w:val="2"/>
        </w:numPr>
      </w:pPr>
      <w:r>
        <w:rPr>
          <w:color w:val="000000"/>
        </w:rPr>
        <w:t xml:space="preserve">New Common Stock (Last resort)</w:t>
      </w:r>
    </w:p>
    <w:p/>
    <w:p/>
    <w:p>
      <w:pPr>
        <w:pStyle w:val="ListParagraph"/>
        <w:numPr>
          <w:ilvl w:val="0"/>
          <w:numId w:val="1"/>
        </w:numPr>
      </w:pPr>
      <w:r>
        <w:rPr>
          <w:b/>
          <w:bCs/>
          <w:color w:val="000000"/>
        </w:rPr>
        <w:t xml:space="preserve">Flotation Costs Friction:</w:t>
      </w:r>
      <w:r>
        <w:rPr>
          <w:color w:val="000000"/>
        </w:rPr>
        <w:t xml:space="preserve"> Total processing fees, legal expenses, and investment banking commissions incurred when issuing new securities to the public. Flotation costs directly reduce net proceeds, making external equity consistently more expensive than internal retained earnings.</w:t>
      </w:r>
    </w:p>
    <w:p/>
    <w:p>
      <w:pPr>
        <w:pStyle w:val="Heading3"/>
        <w:spacing w:before="240" w:after="120"/>
      </w:pPr>
      <w:r>
        <w:t xml:space="preserve">3. Capital Budgeting Evaluation Metrics</w:t>
      </w:r>
    </w:p>
    <w:p/>
    <w:p>
      <w:pPr>
        <w:spacing w:after="120"/>
      </w:pPr>
      <w:r>
        <w:rPr>
          <w:color w:val="000000"/>
        </w:rPr>
        <w:t xml:space="preserve"> </w:t>
      </w:r>
    </w:p>
    <w:p>
      <w:pPr>
        <w:spacing w:after="120"/>
      </w:pPr>
      <w:r>
        <w:rPr>
          <w:b/>
          <w:bCs/>
          <w:color w:val="000000"/>
        </w:rPr>
        <w:t xml:space="preserve">Simple Payback Period (PBP):</w:t>
      </w:r>
      <w:r>
        <w:rPr>
          <w:color w:val="000000"/>
        </w:rPr>
        <w:t xml:space="preserve"> The exact number of years required for cumulative nominal cash inflows to recover the initial investment outflow . It is easy to calculate but ignores the time value of money and post-payback cash flows .</w:t>
      </w:r>
    </w:p>
    <w:p/>
    <w:p/>
    <w:p>
      <w:pPr>
        <w:spacing w:after="120"/>
      </w:pPr>
      <w:r>
        <w:rPr>
          <w:color w:val="000000"/>
        </w:rPr>
        <w:t xml:space="preserve"> </w:t>
      </w:r>
    </w:p>
    <w:p>
      <w:pPr>
        <w:spacing w:after="120"/>
      </w:pPr>
      <w:r>
        <w:rPr>
          <w:b/>
          <w:bCs/>
          <w:color w:val="000000"/>
        </w:rPr>
        <w:t xml:space="preserve">Discounted Payback Period (DPBP):</w:t>
      </w:r>
      <w:r>
        <w:rPr>
          <w:color w:val="000000"/>
        </w:rPr>
        <w:t xml:space="preserve"> A variation of payback that discounts all future cash flows to their present values before calculating the investment recovery time . It fixes the time-value omission of simple payback but still ignores cash flows beyond the recovery point.</w:t>
      </w:r>
    </w:p>
    <w:p/>
    <w:p/>
    <w:p>
      <w:pPr>
        <w:spacing w:after="120"/>
      </w:pPr>
      <w:r>
        <w:rPr>
          <w:color w:val="000000"/>
        </w:rPr>
        <w:t xml:space="preserve"> </w:t>
      </w:r>
    </w:p>
    <w:p>
      <w:pPr>
        <w:spacing w:after="120"/>
      </w:pPr>
      <w:r>
        <w:rPr>
          <w:b/>
          <w:bCs/>
          <w:color w:val="000000"/>
        </w:rPr>
        <w:t xml:space="preserve">Net Present Value (NPV):</w:t>
      </w:r>
      <w:r>
        <w:rPr>
          <w:color w:val="000000"/>
        </w:rPr>
        <w:t xml:space="preserve"> The total present value of all expected future cash inflows minus the initial capital investment outflow . Accept if NPV &gt; 0. A positive NPV represents direct wealth creation.</w:t>
      </w:r>
    </w:p>
    <w:p/>
    <w:p/>
    <w:p>
      <w:pPr>
        <w:spacing w:after="120"/>
      </w:pPr>
      <w:r>
        <w:rPr>
          <w:color w:val="000000"/>
        </w:rPr>
        <w:t xml:space="preserve"> </w:t>
      </w:r>
    </w:p>
    <w:p>
      <w:pPr>
        <w:spacing w:after="120"/>
      </w:pPr>
      <w:r>
        <w:rPr>
          <w:b/>
          <w:bCs/>
          <w:color w:val="000000"/>
        </w:rPr>
        <w:t xml:space="preserve">Profitability Index (PI):</w:t>
      </w:r>
      <w:r>
        <w:rPr>
          <w:color w:val="000000"/>
        </w:rPr>
        <w:t xml:space="preserve"> An efficiency metric showing the ratio of the present value of future cash inflows to the initial cash outflow . Accept if PI &gt; 1.0.</w:t>
      </w:r>
    </w:p>
    <w:p/>
    <w:p/>
    <w:p>
      <w:pPr>
        <w:spacing w:after="120"/>
      </w:pPr>
      <w:r>
        <w:rPr>
          <w:color w:val="000000"/>
        </w:rPr>
        <w:t xml:space="preserve"> </w:t>
      </w:r>
    </w:p>
    <w:p>
      <w:pPr>
        <w:spacing w:after="120"/>
      </w:pPr>
      <w:r>
        <w:rPr>
          <w:b/>
          <w:bCs/>
          <w:color w:val="000000"/>
        </w:rPr>
        <w:t xml:space="preserve">Internal Rate of Return (IRR):</w:t>
      </w:r>
      <w:r>
        <w:rPr>
          <w:color w:val="000000"/>
        </w:rPr>
        <w:t xml:space="preserve"> The specific discount rate that equates the present value of a project’s future cash inflows with its initial cash outflow, driving the project's NPV to exactly zero .</w:t>
      </w:r>
    </w:p>
    <w:p/>
    <w:p/>
    <w:p/>
    <w:p>
      <w:pPr>
        <w:pStyle w:val="Heading3"/>
        <w:spacing w:before="240" w:after="120"/>
      </w:pPr>
      <w:r>
        <w:t xml:space="preserve">4. Financial Markets Classifications</w:t>
      </w:r>
    </w:p>
    <w:p/>
    <w:p>
      <w:pPr>
        <w:pStyle w:val="ListParagraph"/>
        <w:numPr>
          <w:ilvl w:val="0"/>
          <w:numId w:val="1"/>
        </w:numPr>
      </w:pPr>
      <w:r>
        <w:rPr>
          <w:b/>
          <w:bCs/>
          <w:color w:val="000000"/>
        </w:rPr>
        <w:t xml:space="preserve">By Maturity:</w:t>
      </w:r>
      <w:r>
        <w:rPr>
          <w:color w:val="000000"/>
        </w:rPr>
        <w:t xml:space="preserve"> </w:t>
      </w:r>
      <w:r>
        <w:rPr>
          <w:i/>
          <w:iCs/>
          <w:color w:val="000000"/>
        </w:rPr>
        <w:t xml:space="preserve"> </w:t>
      </w:r>
      <w:r>
        <w:rPr>
          <w:color w:val="000000"/>
        </w:rPr>
        <w:t xml:space="preserve">Money Markets:</w:t>
      </w:r>
      <w:r>
        <w:rPr>
          <w:color w:val="000000"/>
        </w:rPr>
        <w:t xml:space="preserve"> Markets for short-term debt securities maturing in less than one year (used for daily liquidity adjustments).</w:t>
      </w:r>
    </w:p>
    <w:p>
      <w:pPr>
        <w:pStyle w:val="ListParagraph"/>
        <w:numPr>
          <w:ilvl w:val="0"/>
          <w:numId w:val="1"/>
        </w:numPr>
      </w:pPr>
      <w:r>
        <w:rPr>
          <w:i/>
          <w:iCs/>
          <w:color w:val="000000"/>
        </w:rPr>
        <w:t xml:space="preserve">Capital Markets:</w:t>
      </w:r>
      <w:r>
        <w:rPr>
          <w:color w:val="000000"/>
        </w:rPr>
        <w:t xml:space="preserve"> Markets for long-term stocks and corporate debt maturing in one year or longer.</w:t>
      </w:r>
    </w:p>
    <w:p/>
    <w:p/>
    <w:p>
      <w:pPr>
        <w:pStyle w:val="ListParagraph"/>
        <w:numPr>
          <w:ilvl w:val="0"/>
          <w:numId w:val="1"/>
        </w:numPr>
      </w:pPr>
      <w:r>
        <w:rPr>
          <w:b/>
          <w:bCs/>
          <w:color w:val="000000"/>
        </w:rPr>
        <w:t xml:space="preserve">By Issuance:</w:t>
      </w:r>
      <w:r>
        <w:rPr>
          <w:color w:val="000000"/>
        </w:rPr>
        <w:t xml:space="preserve"> </w:t>
      </w:r>
      <w:r>
        <w:rPr>
          <w:i/>
          <w:iCs/>
          <w:color w:val="000000"/>
        </w:rPr>
        <w:t xml:space="preserve"> </w:t>
      </w:r>
      <w:r>
        <w:rPr>
          <w:color w:val="000000"/>
        </w:rPr>
        <w:t xml:space="preserve">Primary Market:</w:t>
      </w:r>
      <w:r>
        <w:rPr>
          <w:color w:val="000000"/>
        </w:rPr>
        <w:t xml:space="preserve"> The "New Issues" market where corporations sell brand-new securities for the first time to raise capital via Initial Public Offerings (IPOs).</w:t>
      </w:r>
    </w:p>
    <w:p>
      <w:pPr>
        <w:pStyle w:val="ListParagraph"/>
        <w:numPr>
          <w:ilvl w:val="0"/>
          <w:numId w:val="1"/>
        </w:numPr>
      </w:pPr>
      <w:r>
        <w:rPr>
          <w:i/>
          <w:iCs/>
          <w:color w:val="000000"/>
        </w:rPr>
        <w:t xml:space="preserve">Secondary Market:</w:t>
      </w:r>
      <w:r>
        <w:rPr>
          <w:color w:val="000000"/>
        </w:rPr>
        <w:t xml:space="preserve"> The "Used" market where investors buy and sell existing securities strictly among themselves (e.g., Pakistan Stock Exchange).</w:t>
      </w:r>
    </w:p>
    <w:p/>
    <w:p/>
    <w:p>
      <w:pPr>
        <w:pStyle w:val="ListParagraph"/>
        <w:numPr>
          <w:ilvl w:val="0"/>
          <w:numId w:val="1"/>
        </w:numPr>
      </w:pPr>
      <w:r>
        <w:rPr>
          <w:b/>
          <w:bCs/>
          <w:color w:val="000000"/>
        </w:rPr>
        <w:t xml:space="preserve">By Delivery Timing:</w:t>
      </w:r>
      <w:r>
        <w:rPr>
          <w:color w:val="000000"/>
        </w:rPr>
        <w:t xml:space="preserve"> </w:t>
      </w:r>
      <w:r>
        <w:rPr>
          <w:i/>
          <w:iCs/>
          <w:color w:val="000000"/>
        </w:rPr>
        <w:t xml:space="preserve"> </w:t>
      </w:r>
      <w:r>
        <w:rPr>
          <w:color w:val="000000"/>
        </w:rPr>
        <w:t xml:space="preserve">Spot Markets:</w:t>
      </w:r>
      <w:r>
        <w:rPr>
          <w:color w:val="000000"/>
        </w:rPr>
        <w:t xml:space="preserve"> Transactions involving immediate, physical delivery of assets.</w:t>
      </w:r>
    </w:p>
    <w:p>
      <w:pPr>
        <w:pStyle w:val="ListParagraph"/>
        <w:numPr>
          <w:ilvl w:val="0"/>
          <w:numId w:val="1"/>
        </w:numPr>
      </w:pPr>
      <w:r>
        <w:rPr>
          <w:i/>
          <w:iCs/>
          <w:color w:val="000000"/>
        </w:rPr>
        <w:t xml:space="preserve">Futures Markets:</w:t>
      </w:r>
      <w:r>
        <w:rPr>
          <w:color w:val="000000"/>
        </w:rPr>
        <w:t xml:space="preserve"> Agreements made today to buy or sell an asset at a predetermined price on a designated future date.</w:t>
      </w:r>
    </w:p>
    <w:p/>
    <w:p/>
    <w:p/>
    <w:p>
      <w:pPr>
        <w:pBdr>
          <w:bottom w:val="single" w:color="000000" w:sz="6"/>
        </w:pBdr>
      </w:pPr>
    </w:p>
    <w:p/>
    <w:p>
      <w:pPr>
        <w:pStyle w:val="Heading2"/>
        <w:spacing w:before="240" w:after="120"/>
      </w:pPr>
      <w:r>
        <w:t xml:space="preserve">PART 3: FINAL TERM SYLLABUS</w:t>
      </w:r>
    </w:p>
    <w:p/>
    <w:p>
      <w:pPr>
        <w:pStyle w:val="Heading3"/>
        <w:spacing w:before="240" w:after="120"/>
      </w:pPr>
      <w:r>
        <w:t xml:space="preserve">1. Cash Budgeting Architecture</w:t>
      </w:r>
    </w:p>
    <w:p/>
    <w:p>
      <w:pPr>
        <w:pStyle w:val="ListParagraph"/>
        <w:numPr>
          <w:ilvl w:val="0"/>
          <w:numId w:val="1"/>
        </w:numPr>
      </w:pPr>
      <w:r>
        <w:rPr>
          <w:b/>
          <w:bCs/>
          <w:color w:val="000000"/>
        </w:rPr>
        <w:t xml:space="preserve">Core Definition:</w:t>
      </w:r>
      <w:r>
        <w:rPr>
          <w:color w:val="000000"/>
        </w:rPr>
        <w:t xml:space="preserve"> A dynamic financial planning tool displaying a firm’s or individual's expected cash inflows and outflows over a specific tactical horizon (typically broken down monthly or quarterly).</w:t>
      </w:r>
    </w:p>
    <w:p/>
    <w:p>
      <w:pPr>
        <w:pStyle w:val="ListParagraph"/>
        <w:numPr>
          <w:ilvl w:val="0"/>
          <w:numId w:val="1"/>
        </w:numPr>
      </w:pPr>
      <w:r>
        <w:rPr>
          <w:b/>
          <w:bCs/>
          <w:color w:val="000000"/>
        </w:rPr>
        <w:t xml:space="preserve">The Structural Components:</w:t>
      </w:r>
    </w:p>
    <w:p/>
    <w:p>
      <w:pPr>
        <w:pStyle w:val="ListParagraph"/>
        <w:numPr>
          <w:ilvl w:val="0"/>
          <w:numId w:val="1"/>
        </w:numPr>
      </w:pPr>
      <w:r>
        <w:rPr>
          <w:b/>
          <w:bCs/>
          <w:color w:val="000000"/>
        </w:rPr>
        <w:t xml:space="preserve">Cash Receipts:</w:t>
      </w:r>
      <w:r>
        <w:rPr>
          <w:color w:val="000000"/>
        </w:rPr>
        <w:t xml:space="preserve"> All operational cash inflows expected to be collected (e.g., cash sales, collections of accounts receivable from credit customers, or salary/pay injections).</w:t>
      </w:r>
    </w:p>
    <w:p>
      <w:pPr>
        <w:pStyle w:val="ListParagraph"/>
        <w:numPr>
          <w:ilvl w:val="0"/>
          <w:numId w:val="1"/>
        </w:numPr>
      </w:pPr>
      <w:r>
        <w:rPr>
          <w:b/>
          <w:bCs/>
          <w:color w:val="000000"/>
        </w:rPr>
        <w:t xml:space="preserve">Cash Disbursements:</w:t>
      </w:r>
      <w:r>
        <w:rPr>
          <w:color w:val="000000"/>
        </w:rPr>
        <w:t xml:space="preserve"> All expected cash outlays paid within the period (e.g., raw material purchases, wages, overhead expenses, or capital equipment buying).</w:t>
      </w:r>
    </w:p>
    <w:p>
      <w:pPr>
        <w:pStyle w:val="ListParagraph"/>
        <w:numPr>
          <w:ilvl w:val="0"/>
          <w:numId w:val="1"/>
        </w:numPr>
      </w:pPr>
      <w:r>
        <w:rPr>
          <w:b/>
          <w:bCs/>
          <w:color w:val="000000"/>
        </w:rPr>
        <w:t xml:space="preserve">Net Cash Flow:</w:t>
      </w:r>
      <w:r>
        <w:rPr>
          <w:color w:val="000000"/>
        </w:rPr>
        <w:t xml:space="preserve"> The absolute variance between total cash receipts and total payments within a single period.</w:t>
      </w:r>
    </w:p>
    <w:p>
      <w:pPr>
        <w:pStyle w:val="ListParagraph"/>
        <w:numPr>
          <w:ilvl w:val="0"/>
          <w:numId w:val="1"/>
        </w:numPr>
      </w:pPr>
      <w:r>
        <w:rPr>
          <w:b/>
          <w:bCs/>
          <w:color w:val="000000"/>
        </w:rPr>
        <w:t xml:space="preserve">Financing Requirements:</w:t>
      </w:r>
      <w:r>
        <w:rPr>
          <w:color w:val="000000"/>
        </w:rPr>
        <w:t xml:space="preserve"> A structural mechanism that alerts managers to borrow short-term funds if the ending cash balance falls below a required safety floor, or outlines debt repayment capacity if an excess exists.</w:t>
      </w:r>
    </w:p>
    <w:p/>
    <w:p/>
    <w:p/>
    <w:p>
      <w:pPr>
        <w:pStyle w:val="Heading3"/>
        <w:spacing w:before="240" w:after="120"/>
      </w:pPr>
      <w:r>
        <w:t xml:space="preserve">2. Master Production Scheduling</w:t>
      </w:r>
    </w:p>
    <w:p/>
    <w:p>
      <w:pPr>
        <w:pStyle w:val="ListParagraph"/>
        <w:numPr>
          <w:ilvl w:val="0"/>
          <w:numId w:val="1"/>
        </w:numPr>
      </w:pPr>
      <w:r>
        <w:rPr>
          <w:b/>
          <w:bCs/>
          <w:color w:val="000000"/>
        </w:rPr>
        <w:t xml:space="preserve">Core Function:</w:t>
      </w:r>
      <w:r>
        <w:rPr>
          <w:color w:val="000000"/>
        </w:rPr>
        <w:t xml:space="preserve"> Translates sales forecasts directly into manufacturing targets. It calculates the precise volume of finished goods that must be produced each period to fulfill market demand while maintaining a reliable safety inventory buffer.</w:t>
      </w:r>
    </w:p>
    <w:p>
      <w:pPr>
        <w:pStyle w:val="ListParagraph"/>
        <w:numPr>
          <w:ilvl w:val="0"/>
          <w:numId w:val="1"/>
        </w:numPr>
      </w:pPr>
      <w:r>
        <w:rPr>
          <w:b/>
          <w:bCs/>
          <w:color w:val="000000"/>
        </w:rPr>
        <w:t xml:space="preserve">The Production &amp; Purchase Logic:</w:t>
      </w:r>
    </w:p>
    <w:p/>
    <w:p>
      <w:pPr>
        <w:spacing w:after="120"/>
      </w:pPr>
      <w:r>
        <w:rPr>
          <w:color w:val="000000"/>
        </w:rPr>
        <w:t xml:space="preserve">Required Production Units = Expected Sales Units + Target Ending Inventory Units - Beginning Inventory Units</w:t>
      </w:r>
    </w:p>
    <w:p/>
    <w:p/>
    <w:p>
      <w:pPr>
        <w:pStyle w:val="ListParagraph"/>
        <w:numPr>
          <w:ilvl w:val="0"/>
          <w:numId w:val="1"/>
        </w:numPr>
      </w:pPr>
      <w:r>
        <w:rPr>
          <w:b/>
          <w:bCs/>
          <w:color w:val="000000"/>
        </w:rPr>
        <w:t xml:space="preserve">Strategic Significance:</w:t>
      </w:r>
      <w:r>
        <w:rPr>
          <w:color w:val="000000"/>
        </w:rPr>
        <w:t xml:space="preserve"> Prevents stockouts (which cause direct revenue loss and miss deliveries) while protecting the firm from overstocking (which ties up working capital and escalates physical holding costs).</w:t>
      </w:r>
    </w:p>
    <w:p/>
    <w:p>
      <w:pPr>
        <w:pStyle w:val="Heading3"/>
        <w:spacing w:before="240" w:after="120"/>
      </w:pPr>
      <w:r>
        <w:t xml:space="preserve">3. Static vs. Flexible Budgeting</w:t>
      </w:r>
    </w:p>
    <w:p/>
    <w:p>
      <w:pPr>
        <w:pStyle w:val="ListParagraph"/>
        <w:numPr>
          <w:ilvl w:val="0"/>
          <w:numId w:val="1"/>
        </w:numPr>
      </w:pPr>
      <w:r>
        <w:rPr>
          <w:b/>
          <w:bCs/>
          <w:color w:val="000000"/>
        </w:rPr>
        <w:t xml:space="preserve">Static (Fixed) Budgets:</w:t>
      </w:r>
      <w:r>
        <w:rPr>
          <w:color w:val="000000"/>
        </w:rPr>
        <w:t xml:space="preserve"> Financial plans prepared for only one fixed, predetermined level of activity established at the beginning of an accounting period.</w:t>
      </w:r>
    </w:p>
    <w:p>
      <w:pPr>
        <w:pStyle w:val="ListParagraph"/>
        <w:numPr>
          <w:ilvl w:val="0"/>
          <w:numId w:val="1"/>
        </w:numPr>
      </w:pPr>
      <w:r>
        <w:rPr>
          <w:i/>
          <w:iCs/>
          <w:color w:val="000000"/>
        </w:rPr>
        <w:t xml:space="preserve">The Core Defect:</w:t>
      </w:r>
      <w:r>
        <w:rPr>
          <w:color w:val="000000"/>
        </w:rPr>
        <w:t xml:space="preserve"> If actual operational volume differs from the initial estimate, comparing actual expenditures directly against a static budget results in distorted, highly misleading variance analysis.</w:t>
      </w:r>
    </w:p>
    <w:p/>
    <w:p/>
    <w:p>
      <w:pPr>
        <w:pStyle w:val="ListParagraph"/>
        <w:numPr>
          <w:ilvl w:val="0"/>
          <w:numId w:val="1"/>
        </w:numPr>
      </w:pPr>
      <w:r>
        <w:rPr>
          <w:b/>
          <w:bCs/>
          <w:color w:val="000000"/>
        </w:rPr>
        <w:t xml:space="preserve">Flexible Budgets:</w:t>
      </w:r>
      <w:r>
        <w:rPr>
          <w:color w:val="000000"/>
        </w:rPr>
        <w:t xml:space="preserve"> Dynamic financial tools that calculate budgeted costs for multiple potential levels of output or sales volume.</w:t>
      </w:r>
    </w:p>
    <w:p>
      <w:pPr>
        <w:pStyle w:val="ListParagraph"/>
        <w:numPr>
          <w:ilvl w:val="0"/>
          <w:numId w:val="1"/>
        </w:numPr>
      </w:pPr>
      <w:r>
        <w:rPr>
          <w:i/>
          <w:iCs/>
          <w:color w:val="000000"/>
        </w:rPr>
        <w:t xml:space="preserve">Operational Value:</w:t>
      </w:r>
      <w:r>
        <w:rPr>
          <w:color w:val="000000"/>
        </w:rPr>
        <w:t xml:space="preserve"> It isolates completely variable costs (which adjust proportionally with volume changes) from fixed structural costs (which stay flat), providing a fair, apples-to-apples performance baseline for whatever volume level the company actually hits.</w:t>
      </w:r>
    </w:p>
    <w:p/>
    <w:p/>
    <w:p/>
    <w:p>
      <w:pPr>
        <w:pBdr>
          <w:bottom w:val="single" w:color="000000" w:sz="6"/>
        </w:pBdr>
      </w:pPr>
    </w:p>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2026-05-18T17:33:46.907Z</dcterms:created>
  <dcterms:modified xsi:type="dcterms:W3CDTF">2026-05-18T17:33:46.908Z</dcterms:modified>
</cp:coreProperties>
</file>

<file path=docProps/custom.xml><?xml version="1.0" encoding="utf-8"?>
<Properties xmlns="http://schemas.openxmlformats.org/officeDocument/2006/custom-properties" xmlns:vt="http://schemas.openxmlformats.org/officeDocument/2006/docPropsVTypes"/>
</file>