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80"/>
              <w:left w:type="dxa" w:w="360"/>
              <w:bottom w:type="dxa" w:w="280"/>
              <w:right w:type="dxa" w:w="360"/>
            </w:tcMar>
          </w:tcPr>
          <w:p>
            <w:pPr>
              <w:jc w:val="center"/>
            </w:pPr>
            <w:r>
              <w:rPr>
                <w:rFonts w:ascii="Arial" w:cs="Arial" w:eastAsia="Arial" w:hAnsi="Arial"/>
                <w:b w:val="false"/>
                <w:bCs w:val="false"/>
                <w:color w:val="BDD7EE"/>
                <w:sz w:val="22"/>
                <w:szCs w:val="22"/>
              </w:rPr>
              <w:t xml:space="preserve">Chapter 26</w:t>
            </w:r>
          </w:p>
          <w:p>
            <w:pPr>
              <w:spacing w:after="60" w:before="80"/>
              <w:jc w:val="center"/>
            </w:pPr>
            <w:r>
              <w:rPr>
                <w:rFonts w:ascii="Arial" w:cs="Arial" w:eastAsia="Arial" w:hAnsi="Arial"/>
                <w:b/>
                <w:bCs/>
                <w:color w:val="FFFFFF"/>
                <w:sz w:val="40"/>
                <w:szCs w:val="40"/>
              </w:rPr>
              <w:t xml:space="preserve">Interpretation of Financial Statements</w:t>
            </w:r>
          </w:p>
          <w:p>
            <w:pPr>
              <w:jc w:val="center"/>
            </w:pPr>
            <w:r>
              <w:rPr>
                <w:rFonts w:ascii="Arial" w:cs="Arial" w:eastAsia="Arial" w:hAnsi="Arial"/>
                <w:i/>
                <w:iCs/>
                <w:color w:val="BDD7EE"/>
                <w:sz w:val="20"/>
                <w:szCs w:val="20"/>
              </w:rPr>
              <w:t xml:space="preserve">Performance  •  Solvency  •  Stability  •  Efficiency</w:t>
            </w:r>
          </w:p>
        </w:tc>
      </w:tr>
    </w:tbl>
    <w:p>
      <w:pPr>
        <w:spacing w:after="0" w:before="240"/>
      </w:pPr>
    </w:p>
    <w:p>
      <w:pPr>
        <w:pStyle w:val="Heading1"/>
        <w:spacing w:after="160" w:before="280"/>
      </w:pPr>
      <w:r>
        <w:rPr>
          <w:rFonts w:ascii="Arial" w:cs="Arial" w:eastAsia="Arial" w:hAnsi="Arial"/>
          <w:b/>
          <w:bCs/>
          <w:color w:val="FFFFFF"/>
          <w:sz w:val="32"/>
          <w:szCs w:val="32"/>
        </w:rPr>
        <w:t xml:space="preserve">1.  Information Required by Users</w:t>
      </w:r>
    </w:p>
    <w:p>
      <w:pPr>
        <w:spacing w:after="0" w:before="40"/>
      </w:pPr>
    </w:p>
    <w:p>
      <w:pPr>
        <w:spacing w:after="80" w:before="80" w:line="276"/>
      </w:pPr>
      <w:r>
        <w:rPr>
          <w:rFonts w:ascii="Arial" w:cs="Arial" w:eastAsia="Arial" w:hAnsi="Arial"/>
          <w:sz w:val="20"/>
          <w:szCs w:val="20"/>
        </w:rPr>
        <w:t xml:space="preserve">Raw accounting figures (e.g. a net profit of $100,000) tell only part of the story. Financial ratios translate these figures into meaningful percentages and proportions to enable effective evaluation of performance, solvency, stability, and operational efficiency.</w:t>
      </w:r>
    </w:p>
    <w:p>
      <w:pPr>
        <w:spacing w:after="0" w:before="120"/>
      </w:pPr>
    </w:p>
    <w:p>
      <w:pPr>
        <w:pStyle w:val="Heading2"/>
        <w:pBdr>
          <w:bottom w:val="single" w:color="2E75B6" w:sz="6" w:space="4"/>
        </w:pBdr>
        <w:spacing w:after="120" w:before="280"/>
      </w:pPr>
      <w:r>
        <w:rPr>
          <w:rFonts w:ascii="Arial" w:cs="Arial" w:eastAsia="Arial" w:hAnsi="Arial"/>
          <w:b/>
          <w:bCs/>
          <w:color w:val="1F4E79"/>
          <w:sz w:val="26"/>
          <w:szCs w:val="26"/>
        </w:rPr>
        <w:t xml:space="preserve">1.1  User Groups</w:t>
      </w:r>
    </w:p>
    <w:p>
      <w:pPr>
        <w:spacing w:after="0" w:before="60"/>
      </w:pPr>
    </w:p>
    <w:p>
      <w:pPr>
        <w:spacing w:after="80" w:before="80" w:line="276"/>
      </w:pPr>
      <w:r>
        <w:rPr>
          <w:rFonts w:ascii="Arial" w:cs="Arial" w:eastAsia="Arial" w:hAnsi="Arial"/>
          <w:sz w:val="20"/>
          <w:szCs w:val="20"/>
        </w:rPr>
        <w:t xml:space="preserve">Different stakeholders focus on different aspects of the financial statements: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w:t>
            </w:r>
          </w:p>
        </w:tc>
        <w:tc>
          <w:tcPr>
            <w:tcW w:type="dxa" w:w="716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Focus</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Managers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Detailed internal data to monitor performance, evaluate projects, allocate resources, and make strategic choices.</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Shareholders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Profitability, return on investment, and capital growth — ensuring capital generates adequate yields and share value appreciates.</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Trade Creditors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Short-term liquidity — whether the company has enough liquid funds to pay invoices on time when credit periods expire.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Lenders / Banks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Long-term solvency and stability — reliable capacity to meet interest obligations and repay principal debt at maturity.</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Employees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Job security, wage increases, and pension stability — all dependent on the financial health and continuity of the entity.</w:t>
            </w:r>
          </w:p>
        </w:tc>
      </w:tr>
    </w:tbl>
    <w:p>
      <w:pPr>
        <w:spacing w:after="0" w:before="200"/>
      </w:pPr>
    </w:p>
    <w:p>
      <w:pPr>
        <w:pStyle w:val="Heading2"/>
        <w:pBdr>
          <w:bottom w:val="single" w:color="2E75B6" w:sz="6" w:space="4"/>
        </w:pBdr>
        <w:spacing w:after="120" w:before="280"/>
      </w:pPr>
      <w:r>
        <w:rPr>
          <w:rFonts w:ascii="Arial" w:cs="Arial" w:eastAsia="Arial" w:hAnsi="Arial"/>
          <w:b/>
          <w:bCs/>
          <w:color w:val="1F4E79"/>
          <w:sz w:val="26"/>
          <w:szCs w:val="26"/>
        </w:rPr>
        <w:t xml:space="preserve">1.2  Comparisons</w:t>
      </w:r>
    </w:p>
    <w:p>
      <w:pPr>
        <w:spacing w:after="0" w:before="60"/>
      </w:pPr>
    </w:p>
    <w:p>
      <w:pPr>
        <w:spacing w:after="80" w:before="80" w:line="276"/>
      </w:pPr>
      <w:r>
        <w:rPr>
          <w:rFonts w:ascii="Arial" w:cs="Arial" w:eastAsia="Arial" w:hAnsi="Arial"/>
          <w:sz w:val="20"/>
          <w:szCs w:val="20"/>
        </w:rPr>
        <w:t xml:space="preserve">Financial data must be compared against a benchmark to form an accurate assessment. Two primary comparison types are used in practice:</w:t>
      </w:r>
    </w:p>
    <w:p>
      <w:pPr>
        <w:spacing w:after="0" w:before="80"/>
      </w:pPr>
    </w:p>
    <w:p>
      <w:pPr>
        <w:pStyle w:val="ListParagraph"/>
        <w:numPr>
          <w:ilvl w:val="0"/>
          <w:numId w:val="2"/>
        </w:numPr>
        <w:spacing w:after="60" w:before="60" w:line="276"/>
      </w:pPr>
      <w:r>
        <w:rPr>
          <w:rFonts w:ascii="Arial" w:cs="Arial" w:eastAsia="Arial" w:hAnsi="Arial"/>
          <w:sz w:val="20"/>
          <w:szCs w:val="20"/>
        </w:rPr>
        <w:t xml:space="preserve">Trend Analysis (Inter-temporal / Year-on-Year): Comparing current ratios with previous years of the same company — highlights whether performance is improving, stable, or deteriorating.</w:t>
      </w:r>
    </w:p>
    <w:p>
      <w:pPr>
        <w:pStyle w:val="ListParagraph"/>
        <w:numPr>
          <w:ilvl w:val="0"/>
          <w:numId w:val="2"/>
        </w:numPr>
        <w:spacing w:after="60" w:before="60" w:line="276"/>
      </w:pPr>
      <w:r>
        <w:rPr>
          <w:rFonts w:ascii="Arial" w:cs="Arial" w:eastAsia="Arial" w:hAnsi="Arial"/>
          <w:sz w:val="20"/>
          <w:szCs w:val="20"/>
        </w:rPr>
        <w:t xml:space="preserve">Cross-sectional Analysis (Inter-company): Comparing ratios with direct competitors or industry averages — reveals relative performance against peers.</w:t>
      </w:r>
    </w:p>
    <w:p>
      <w:pPr>
        <w:spacing w:after="0" w:before="200"/>
      </w:pPr>
    </w:p>
    <w:p>
      <w:pPr>
        <w:pStyle w:val="Heading2"/>
        <w:pBdr>
          <w:bottom w:val="single" w:color="2E75B6" w:sz="6" w:space="4"/>
        </w:pBdr>
        <w:spacing w:after="120" w:before="280"/>
      </w:pPr>
      <w:r>
        <w:rPr>
          <w:rFonts w:ascii="Arial" w:cs="Arial" w:eastAsia="Arial" w:hAnsi="Arial"/>
          <w:b/>
          <w:bCs/>
          <w:color w:val="1F4E79"/>
          <w:sz w:val="26"/>
          <w:szCs w:val="26"/>
        </w:rPr>
        <w:t xml:space="preserve">1.3  Other Information (Non-Financial Indicators)</w:t>
      </w:r>
    </w:p>
    <w:p>
      <w:pPr>
        <w:spacing w:after="0" w:before="60"/>
      </w:pPr>
    </w:p>
    <w:p>
      <w:pPr>
        <w:spacing w:after="80" w:before="80" w:line="276"/>
      </w:pPr>
      <w:r>
        <w:rPr>
          <w:rFonts w:ascii="Arial" w:cs="Arial" w:eastAsia="Arial" w:hAnsi="Arial"/>
          <w:sz w:val="20"/>
          <w:szCs w:val="20"/>
        </w:rPr>
        <w:t xml:space="preserve">Ratio analysis cannot be performed in a vacuum. Users must supplement financial data with:</w:t>
      </w:r>
    </w:p>
    <w:p>
      <w:pPr>
        <w:spacing w:after="0" w:before="60"/>
      </w:pPr>
    </w:p>
    <w:p>
      <w:pPr>
        <w:pStyle w:val="ListParagraph"/>
        <w:numPr>
          <w:ilvl w:val="0"/>
          <w:numId w:val="3"/>
        </w:numPr>
        <w:spacing w:after="60" w:before="60" w:line="276"/>
      </w:pPr>
      <w:r>
        <w:rPr>
          <w:rFonts w:ascii="Arial" w:cs="Arial" w:eastAsia="Arial" w:hAnsi="Arial"/>
          <w:sz w:val="20"/>
          <w:szCs w:val="20"/>
        </w:rPr>
        <w:t xml:space="preserve">Changes in the market environment and consumer preferences.</w:t>
      </w:r>
    </w:p>
    <w:p>
      <w:pPr>
        <w:pStyle w:val="ListParagraph"/>
        <w:numPr>
          <w:ilvl w:val="0"/>
          <w:numId w:val="3"/>
        </w:numPr>
        <w:spacing w:after="60" w:before="60" w:line="276"/>
      </w:pPr>
      <w:r>
        <w:rPr>
          <w:rFonts w:ascii="Arial" w:cs="Arial" w:eastAsia="Arial" w:hAnsi="Arial"/>
          <w:sz w:val="20"/>
          <w:szCs w:val="20"/>
        </w:rPr>
        <w:t xml:space="preserve">General economic conditions: inflation, interest rates, and unemployment.</w:t>
      </w:r>
    </w:p>
    <w:p>
      <w:pPr>
        <w:pStyle w:val="ListParagraph"/>
        <w:numPr>
          <w:ilvl w:val="0"/>
          <w:numId w:val="3"/>
        </w:numPr>
        <w:spacing w:after="60" w:before="60" w:line="276"/>
      </w:pPr>
      <w:r>
        <w:rPr>
          <w:rFonts w:ascii="Arial" w:cs="Arial" w:eastAsia="Arial" w:hAnsi="Arial"/>
          <w:sz w:val="20"/>
          <w:szCs w:val="20"/>
        </w:rPr>
        <w:t xml:space="preserve">Environmental impact, political risks, and shifting regulatory frameworks.</w:t>
      </w:r>
    </w:p>
    <w:p>
      <w:pPr>
        <w:spacing w:after="0" w:before="200"/>
      </w:pPr>
    </w:p>
    <w:p>
      <w:pPr>
        <w:pStyle w:val="Heading2"/>
        <w:pBdr>
          <w:bottom w:val="single" w:color="2E75B6" w:sz="6" w:space="4"/>
        </w:pBdr>
        <w:spacing w:after="120" w:before="280"/>
      </w:pPr>
      <w:r>
        <w:rPr>
          <w:rFonts w:ascii="Arial" w:cs="Arial" w:eastAsia="Arial" w:hAnsi="Arial"/>
          <w:b/>
          <w:bCs/>
          <w:color w:val="1F4E79"/>
          <w:sz w:val="26"/>
          <w:szCs w:val="26"/>
        </w:rPr>
        <w:t xml:space="preserve">1.4  Multinational Companies</w:t>
      </w:r>
    </w:p>
    <w:p>
      <w:pPr>
        <w:spacing w:after="0" w:before="60"/>
      </w:pPr>
    </w:p>
    <w:p>
      <w:pPr>
        <w:spacing w:after="80" w:before="80" w:line="276"/>
      </w:pPr>
      <w:r>
        <w:rPr>
          <w:rFonts w:ascii="Arial" w:cs="Arial" w:eastAsia="Arial" w:hAnsi="Arial"/>
          <w:sz w:val="20"/>
          <w:szCs w:val="20"/>
        </w:rPr>
        <w:t xml:space="preserve">Analyzing multinational financial statements introduces unique complexities:</w:t>
      </w:r>
    </w:p>
    <w:p>
      <w:pPr>
        <w:spacing w:after="0" w:before="60"/>
      </w:pPr>
    </w:p>
    <w:p>
      <w:pPr>
        <w:pStyle w:val="ListParagraph"/>
        <w:numPr>
          <w:ilvl w:val="0"/>
          <w:numId w:val="3"/>
        </w:numPr>
        <w:spacing w:after="60" w:before="60" w:line="276"/>
      </w:pPr>
      <w:r>
        <w:rPr>
          <w:rFonts w:ascii="Arial" w:cs="Arial" w:eastAsia="Arial" w:hAnsi="Arial"/>
          <w:b/>
          <w:bCs/>
          <w:sz w:val="20"/>
          <w:szCs w:val="20"/>
        </w:rPr>
        <w:t xml:space="preserve">Varying National Legislation: </w:t>
      </w:r>
      <w:r>
        <w:rPr>
          <w:rFonts w:ascii="Arial" w:cs="Arial" w:eastAsia="Arial" w:hAnsi="Arial"/>
          <w:sz w:val="20"/>
          <w:szCs w:val="20"/>
        </w:rPr>
        <w:t xml:space="preserve">Operations span multiple legal jurisdictions with different tax laws, corporate structures, and filing requirements.</w:t>
      </w:r>
    </w:p>
    <w:p>
      <w:pPr>
        <w:pStyle w:val="ListParagraph"/>
        <w:numPr>
          <w:ilvl w:val="0"/>
          <w:numId w:val="3"/>
        </w:numPr>
        <w:spacing w:after="60" w:before="60" w:line="276"/>
      </w:pPr>
      <w:r>
        <w:rPr>
          <w:rFonts w:ascii="Arial" w:cs="Arial" w:eastAsia="Arial" w:hAnsi="Arial"/>
          <w:b/>
          <w:bCs/>
          <w:sz w:val="20"/>
          <w:szCs w:val="20"/>
        </w:rPr>
        <w:t xml:space="preserve">Consolidation Adjustments: </w:t>
      </w:r>
      <w:r>
        <w:rPr>
          <w:rFonts w:ascii="Arial" w:cs="Arial" w:eastAsia="Arial" w:hAnsi="Arial"/>
          <w:sz w:val="20"/>
          <w:szCs w:val="20"/>
        </w:rPr>
        <w:t xml:space="preserve">Subsidiaries operate in different currencies and may use differing domestic accounting standards. Under IFRSs, these must be adjusted to uniform corporate policies and translated to the parent reporting currency before consolidation.</w:t>
      </w:r>
    </w:p>
    <w:p>
      <w:pPr>
        <w:spacing w:after="0" w:before="240"/>
      </w:pPr>
    </w:p>
    <w:p>
      <w:pPr>
        <w:pStyle w:val="Heading1"/>
        <w:spacing w:after="160" w:before="280"/>
      </w:pPr>
      <w:r>
        <w:rPr>
          <w:rFonts w:ascii="Arial" w:cs="Arial" w:eastAsia="Arial" w:hAnsi="Arial"/>
          <w:b/>
          <w:bCs/>
          <w:color w:val="FFFFFF"/>
          <w:sz w:val="32"/>
          <w:szCs w:val="32"/>
        </w:rPr>
        <w:t xml:space="preserve">2.  The Broad Categories of Ratios</w:t>
      </w:r>
    </w:p>
    <w:p>
      <w:pPr>
        <w:spacing w:after="0" w:before="40"/>
      </w:pPr>
    </w:p>
    <w:p>
      <w:pPr>
        <w:spacing w:after="80" w:before="80" w:line="276"/>
      </w:pPr>
      <w:r>
        <w:rPr>
          <w:rFonts w:ascii="Arial" w:cs="Arial" w:eastAsia="Arial" w:hAnsi="Arial"/>
          <w:sz w:val="20"/>
          <w:szCs w:val="20"/>
        </w:rPr>
        <w:t xml:space="preserve">Ratios are divided into categories based on the aspect of the business being measured: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596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Operational Focus</w:t>
            </w:r>
          </w:p>
        </w:tc>
      </w:tr>
      <w:tr>
        <w:tc>
          <w:tcPr>
            <w:tcW w:type="dxa" w:w="3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Profitability &amp; Return</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Measures effectiveness at generating profits relative to capital invested or revenue achieved.</w:t>
            </w:r>
          </w:p>
        </w:tc>
      </w:tr>
      <w:tr>
        <w:tc>
          <w:tcPr>
            <w:tcW w:type="dxa" w:w="34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Liquidity &amp; Short-Term Solvency</w:t>
            </w:r>
          </w:p>
        </w:tc>
        <w:tc>
          <w:tcPr>
            <w:tcW w:type="dxa" w:w="5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Analyzes the ability to meet short-term liabilities as they fall due using short-term assets.</w:t>
            </w:r>
          </w:p>
        </w:tc>
      </w:tr>
      <w:tr>
        <w:tc>
          <w:tcPr>
            <w:tcW w:type="dxa" w:w="3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Efficiency (Working Capital Turnover)</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Evaluates how effectively management utilizes operational assets — inventory, receivables, and payables.</w:t>
            </w:r>
          </w:p>
        </w:tc>
      </w:tr>
      <w:tr>
        <w:tc>
          <w:tcPr>
            <w:tcW w:type="dxa" w:w="34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Long-Term Solvency &amp; Gearing</w:t>
            </w:r>
          </w:p>
        </w:tc>
        <w:tc>
          <w:tcPr>
            <w:tcW w:type="dxa" w:w="5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Assesses long-term capital structure, financial risk, and capacity to handle permanent interest-bearing debt.</w:t>
            </w:r>
          </w:p>
        </w:tc>
      </w:tr>
    </w:tbl>
    <w:p>
      <w:pPr>
        <w:spacing w:after="0" w:before="240"/>
      </w:pPr>
    </w:p>
    <w:p>
      <w:pPr>
        <w:pStyle w:val="Heading1"/>
        <w:spacing w:after="160" w:before="280"/>
      </w:pPr>
      <w:r>
        <w:rPr>
          <w:rFonts w:ascii="Arial" w:cs="Arial" w:eastAsia="Arial" w:hAnsi="Arial"/>
          <w:b/>
          <w:bCs/>
          <w:color w:val="FFFFFF"/>
          <w:sz w:val="32"/>
          <w:szCs w:val="32"/>
        </w:rPr>
        <w:t xml:space="preserve">3.  Profitability Ratios</w:t>
      </w:r>
    </w:p>
    <w:p>
      <w:pPr>
        <w:spacing w:after="0" w:before="40"/>
      </w:pPr>
    </w:p>
    <w:p>
      <w:pPr>
        <w:spacing w:after="80" w:before="80" w:line="276"/>
      </w:pPr>
      <w:r>
        <w:rPr>
          <w:rFonts w:ascii="Arial" w:cs="Arial" w:eastAsia="Arial" w:hAnsi="Arial"/>
          <w:sz w:val="20"/>
          <w:szCs w:val="20"/>
        </w:rPr>
        <w:t xml:space="preserve">Profitability ratios measure management's ability to control operational expenses and generate returns on the resources available to the firm.</w:t>
      </w:r>
    </w:p>
    <w:p>
      <w:pPr>
        <w:spacing w:after="0" w:before="160"/>
      </w:pPr>
    </w:p>
    <w:p>
      <w:pPr>
        <w:pStyle w:val="Heading2"/>
        <w:pBdr>
          <w:bottom w:val="single" w:color="2E75B6" w:sz="6" w:space="4"/>
        </w:pBdr>
        <w:spacing w:after="120" w:before="280"/>
      </w:pPr>
      <w:r>
        <w:rPr>
          <w:rFonts w:ascii="Arial" w:cs="Arial" w:eastAsia="Arial" w:hAnsi="Arial"/>
          <w:b/>
          <w:bCs/>
          <w:color w:val="1F4E79"/>
          <w:sz w:val="26"/>
          <w:szCs w:val="26"/>
        </w:rPr>
        <w:t xml:space="preserve">3.1  Return on Capital Employed (ROCE)</w:t>
      </w:r>
    </w:p>
    <w:p>
      <w:pPr>
        <w:spacing w:after="0" w:before="60"/>
      </w:pPr>
    </w:p>
    <w:p>
      <w:pPr>
        <w:spacing w:after="80" w:before="80" w:line="276"/>
      </w:pPr>
      <w:r>
        <w:rPr>
          <w:rFonts w:ascii="Arial" w:cs="Arial" w:eastAsia="Arial" w:hAnsi="Arial"/>
          <w:sz w:val="20"/>
          <w:szCs w:val="20"/>
        </w:rPr>
        <w:t xml:space="preserve">ROCE is often considered the primary profitability ratio. It evaluates how efficiently a company uses its long-term fund base to generate an operating profit.</w:t>
      </w:r>
    </w:p>
    <w:p>
      <w:pPr>
        <w:spacing w:after="0" w:before="120"/>
      </w:pPr>
    </w:p>
    <w:p>
      <w:pPr>
        <w:pStyle w:val="Heading3"/>
        <w:spacing w:after="80" w:before="200"/>
      </w:pPr>
      <w:r>
        <w:rPr>
          <w:rFonts w:ascii="Arial" w:cs="Arial" w:eastAsia="Arial" w:hAnsi="Arial"/>
          <w:b/>
          <w:bCs/>
          <w:color w:val="2E75B6"/>
          <w:sz w:val="22"/>
          <w:szCs w:val="22"/>
        </w:rPr>
        <w:t xml:space="preserve">Formula</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ROCE  =  (Profit Before Interest and Taxation) / (Capital Employed)  ×  100%</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Capital Employed  =  Total Assets − Current Liabilities  =  Shareholders' Equity + Non-Current Liabilities</w:t>
      </w:r>
    </w:p>
    <w:p>
      <w:pPr>
        <w:spacing w:after="0" w:before="120"/>
      </w:pPr>
    </w:p>
    <w:p>
      <w:pPr>
        <w:pStyle w:val="Heading3"/>
        <w:spacing w:after="80" w:before="200"/>
      </w:pPr>
      <w:r>
        <w:rPr>
          <w:rFonts w:ascii="Arial" w:cs="Arial" w:eastAsia="Arial" w:hAnsi="Arial"/>
          <w:b/>
          <w:bCs/>
          <w:color w:val="2E75B6"/>
          <w:sz w:val="22"/>
          <w:szCs w:val="22"/>
        </w:rPr>
        <w:t xml:space="preserve">Reasoning</w:t>
      </w:r>
    </w:p>
    <w:p>
      <w:pPr>
        <w:spacing w:after="0" w:before="60"/>
      </w:pPr>
    </w:p>
    <w:p>
      <w:pPr>
        <w:spacing w:after="80" w:before="80" w:line="276"/>
      </w:pPr>
      <w:r>
        <w:rPr>
          <w:rFonts w:ascii="Arial" w:cs="Arial" w:eastAsia="Arial" w:hAnsi="Arial"/>
          <w:sz w:val="20"/>
          <w:szCs w:val="20"/>
        </w:rPr>
        <w:t xml:space="preserve">Operating profit (PBIT) represents returns earned before capital providers take their cuts — interest to lenders and dividends to shareholders. Therefore PBIT must be compared against the total long-term capital base (Capital Employed), not just shareholders' equity alone.</w:t>
      </w:r>
    </w:p>
    <w:p>
      <w:pPr>
        <w:spacing w:after="0" w:before="120"/>
      </w:pPr>
    </w:p>
    <w:p>
      <w:pPr>
        <w:pStyle w:val="Heading3"/>
        <w:spacing w:after="80" w:before="200"/>
      </w:pPr>
      <w:r>
        <w:rPr>
          <w:rFonts w:ascii="Arial" w:cs="Arial" w:eastAsia="Arial" w:hAnsi="Arial"/>
          <w:b/>
          <w:bCs/>
          <w:color w:val="2E75B6"/>
          <w:sz w:val="22"/>
          <w:szCs w:val="22"/>
        </w:rPr>
        <w:t xml:space="preserve">Movement Interpretation</w:t>
      </w:r>
    </w:p>
    <w:p>
      <w:pPr>
        <w:spacing w:after="0" w:before="60"/>
      </w:pPr>
    </w:p>
    <w:p>
      <w:pPr>
        <w:pStyle w:val="ListParagraph"/>
        <w:numPr>
          <w:ilvl w:val="0"/>
          <w:numId w:val="3"/>
        </w:numPr>
        <w:spacing w:after="60" w:before="60" w:line="276"/>
      </w:pPr>
      <w:r>
        <w:rPr>
          <w:rFonts w:ascii="Arial" w:cs="Arial" w:eastAsia="Arial" w:hAnsi="Arial"/>
          <w:sz w:val="20"/>
          <w:szCs w:val="20"/>
        </w:rPr>
        <w:t xml:space="preserve">Increase → Management generates more profit per dollar of long-term funding. Points to improving cost control or more efficient asset usage.</w:t>
      </w:r>
    </w:p>
    <w:p>
      <w:pPr>
        <w:pStyle w:val="ListParagraph"/>
        <w:numPr>
          <w:ilvl w:val="0"/>
          <w:numId w:val="3"/>
        </w:numPr>
        <w:spacing w:after="60" w:before="60" w:line="276"/>
      </w:pPr>
      <w:r>
        <w:rPr>
          <w:rFonts w:ascii="Arial" w:cs="Arial" w:eastAsia="Arial" w:hAnsi="Arial"/>
          <w:sz w:val="20"/>
          <w:szCs w:val="20"/>
        </w:rPr>
        <w:t xml:space="preserve">Decrease → Capital is being deployed less efficiently. The firm may have added debt/equity without a proportional rise in operating profit.</w:t>
      </w:r>
    </w:p>
    <w:p>
      <w:pPr>
        <w:spacing w:after="0" w:before="120"/>
      </w:pPr>
    </w:p>
    <w:p>
      <w:pPr>
        <w:spacing w:after="60" w:before="160"/>
      </w:pPr>
      <w:r>
        <w:rPr>
          <w:rFonts w:ascii="Arial" w:cs="Arial" w:eastAsia="Arial" w:hAnsi="Arial"/>
          <w:b/>
          <w:bCs/>
          <w:i/>
          <w:iCs/>
          <w:color w:val="444444"/>
          <w:sz w:val="20"/>
          <w:szCs w:val="20"/>
        </w:rPr>
        <w:t xml:space="preserve">⚠  Common Mistakes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4"/>
              <w:left w:val="single" w:color="E8A000" w:sz="4"/>
              <w:bottom w:val="single" w:color="E8A000" w:sz="4"/>
              <w:right w:val="single" w:color="E8A000" w:sz="4"/>
            </w:tcBorders>
            <w:shd w:fill="FFF8E1" w:val="clear"/>
            <w:tcMar>
              <w:top w:type="dxa" w:w="120"/>
              <w:left w:type="dxa" w:w="200"/>
              <w:bottom w:type="dxa" w:w="120"/>
              <w:right w:type="dxa" w:w="200"/>
            </w:tcMar>
          </w:tcPr>
          <w:p>
            <w:pPr>
              <w:spacing w:after="40" w:before="0" w:line="276"/>
            </w:pPr>
            <w:r>
              <w:rPr>
                <w:rFonts w:ascii="Arial" w:cs="Arial" w:eastAsia="Arial" w:hAnsi="Arial"/>
                <w:color w:val="7B1C00"/>
                <w:sz w:val="19"/>
                <w:szCs w:val="19"/>
              </w:rPr>
              <w:t xml:space="preserve">• Never use Net Profit After Tax in the numerator — always use PBIT (Operating Profit). Using after-tax profit distorts the ratio because capital employed includes debt funded via interest.</w:t>
            </w:r>
          </w:p>
          <w:p>
            <w:pPr>
              <w:spacing w:after="0" w:before="40" w:line="276"/>
            </w:pPr>
            <w:r>
              <w:rPr>
                <w:rFonts w:ascii="Arial" w:cs="Arial" w:eastAsia="Arial" w:hAnsi="Arial"/>
                <w:color w:val="7B1C00"/>
                <w:sz w:val="19"/>
                <w:szCs w:val="19"/>
              </w:rPr>
              <w:t xml:space="preserve">• Always exclude short-term liabilities from total assets when calculating Capital Employed (denominator mismatch).</w:t>
            </w:r>
          </w:p>
        </w:tc>
      </w:tr>
    </w:tbl>
    <w:p>
      <w:pPr>
        <w:spacing w:after="0" w:before="200"/>
      </w:pPr>
    </w:p>
    <w:p>
      <w:pPr>
        <w:pStyle w:val="Heading2"/>
        <w:pBdr>
          <w:bottom w:val="single" w:color="2E75B6" w:sz="6" w:space="4"/>
        </w:pBdr>
        <w:spacing w:after="120" w:before="280"/>
      </w:pPr>
      <w:r>
        <w:rPr>
          <w:rFonts w:ascii="Arial" w:cs="Arial" w:eastAsia="Arial" w:hAnsi="Arial"/>
          <w:b/>
          <w:bCs/>
          <w:color w:val="1F4E79"/>
          <w:sz w:val="26"/>
          <w:szCs w:val="26"/>
        </w:rPr>
        <w:t xml:space="preserve">3.2  Profit Margins</w:t>
      </w:r>
    </w:p>
    <w:p>
      <w:pPr>
        <w:spacing w:after="0" w:before="60"/>
      </w:pPr>
    </w:p>
    <w:p>
      <w:pPr>
        <w:spacing w:after="80" w:before="80" w:line="276"/>
      </w:pPr>
      <w:r>
        <w:rPr>
          <w:rFonts w:ascii="Arial" w:cs="Arial" w:eastAsia="Arial" w:hAnsi="Arial"/>
          <w:sz w:val="20"/>
          <w:szCs w:val="20"/>
        </w:rPr>
        <w:t xml:space="preserve">Profit margins break down the income statement to show what percentage of revenue remains after deducting operational costs.</w:t>
      </w:r>
    </w:p>
    <w:p>
      <w:pPr>
        <w:spacing w:after="0" w:before="120"/>
      </w:pPr>
    </w:p>
    <w:p>
      <w:pPr>
        <w:pStyle w:val="Heading3"/>
        <w:spacing w:after="80" w:before="200"/>
      </w:pPr>
      <w:r>
        <w:rPr>
          <w:rFonts w:ascii="Arial" w:cs="Arial" w:eastAsia="Arial" w:hAnsi="Arial"/>
          <w:b/>
          <w:bCs/>
          <w:color w:val="2E75B6"/>
          <w:sz w:val="22"/>
          <w:szCs w:val="22"/>
        </w:rPr>
        <w:t xml:space="preserve">Formulas</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Gross Profit Margin  =  Gross Profit / Revenue  ×  100%</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Net (Operating) Profit Margin  =  PBIT / Revenue  ×  100%</w:t>
      </w:r>
    </w:p>
    <w:p>
      <w:pPr>
        <w:spacing w:after="0" w:before="120"/>
      </w:pPr>
    </w:p>
    <w:p>
      <w:pPr>
        <w:pStyle w:val="Heading3"/>
        <w:spacing w:after="80" w:before="200"/>
      </w:pPr>
      <w:r>
        <w:rPr>
          <w:rFonts w:ascii="Arial" w:cs="Arial" w:eastAsia="Arial" w:hAnsi="Arial"/>
          <w:b/>
          <w:bCs/>
          <w:color w:val="2E75B6"/>
          <w:sz w:val="22"/>
          <w:szCs w:val="22"/>
        </w:rPr>
        <w:t xml:space="preserve">Reasoning</w:t>
      </w:r>
    </w:p>
    <w:p>
      <w:pPr>
        <w:spacing w:after="0" w:before="60"/>
      </w:pPr>
    </w:p>
    <w:p>
      <w:pPr>
        <w:pStyle w:val="ListParagraph"/>
        <w:numPr>
          <w:ilvl w:val="0"/>
          <w:numId w:val="3"/>
        </w:numPr>
        <w:spacing w:after="60" w:before="60" w:line="276"/>
      </w:pPr>
      <w:r>
        <w:rPr>
          <w:rFonts w:ascii="Arial" w:cs="Arial" w:eastAsia="Arial" w:hAnsi="Arial"/>
          <w:b/>
          <w:bCs/>
          <w:sz w:val="20"/>
          <w:szCs w:val="20"/>
        </w:rPr>
        <w:t xml:space="preserve">Gross Profit Margin: </w:t>
      </w:r>
      <w:r>
        <w:rPr>
          <w:rFonts w:ascii="Arial" w:cs="Arial" w:eastAsia="Arial" w:hAnsi="Arial"/>
          <w:sz w:val="20"/>
          <w:szCs w:val="20"/>
        </w:rPr>
        <w:t xml:space="preserve">Measures operational pricing power and production efficiency before administrative overheads — isolates direct trading costs (Cost of Sales) from general overheads.</w:t>
      </w:r>
    </w:p>
    <w:p>
      <w:pPr>
        <w:pStyle w:val="ListParagraph"/>
        <w:numPr>
          <w:ilvl w:val="0"/>
          <w:numId w:val="3"/>
        </w:numPr>
        <w:spacing w:after="60" w:before="60" w:line="276"/>
      </w:pPr>
      <w:r>
        <w:rPr>
          <w:rFonts w:ascii="Arial" w:cs="Arial" w:eastAsia="Arial" w:hAnsi="Arial"/>
          <w:b/>
          <w:bCs/>
          <w:sz w:val="20"/>
          <w:szCs w:val="20"/>
        </w:rPr>
        <w:t xml:space="preserve">Operating Profit Margin: </w:t>
      </w:r>
      <w:r>
        <w:rPr>
          <w:rFonts w:ascii="Arial" w:cs="Arial" w:eastAsia="Arial" w:hAnsi="Arial"/>
          <w:sz w:val="20"/>
          <w:szCs w:val="20"/>
        </w:rPr>
        <w:t xml:space="preserve">Reflects overall operational efficiency — management's ability to control administrative, distribution, and general overhead expenses.</w:t>
      </w:r>
    </w:p>
    <w:p>
      <w:pPr>
        <w:spacing w:after="0" w:before="120"/>
      </w:pPr>
    </w:p>
    <w:p>
      <w:pPr>
        <w:pStyle w:val="Heading3"/>
        <w:spacing w:after="80" w:before="200"/>
      </w:pPr>
      <w:r>
        <w:rPr>
          <w:rFonts w:ascii="Arial" w:cs="Arial" w:eastAsia="Arial" w:hAnsi="Arial"/>
          <w:b/>
          <w:bCs/>
          <w:color w:val="2E75B6"/>
          <w:sz w:val="22"/>
          <w:szCs w:val="22"/>
        </w:rPr>
        <w:t xml:space="preserve">Movement Interpretation</w:t>
      </w:r>
    </w:p>
    <w:p>
      <w:pPr>
        <w:spacing w:after="0" w:before="60"/>
      </w:pPr>
    </w:p>
    <w:p>
      <w:pPr>
        <w:spacing w:after="80" w:before="80" w:line="276"/>
      </w:pPr>
      <w:r>
        <w:rPr>
          <w:rFonts w:ascii="Arial" w:cs="Arial" w:eastAsia="Arial" w:hAnsi="Arial"/>
          <w:sz w:val="20"/>
          <w:szCs w:val="20"/>
        </w:rPr>
        <w:t xml:space="preserve">Gross Margin Changes:</w:t>
      </w:r>
    </w:p>
    <w:p>
      <w:pPr>
        <w:pStyle w:val="ListParagraph"/>
        <w:numPr>
          <w:ilvl w:val="1"/>
          <w:numId w:val="3"/>
        </w:numPr>
        <w:spacing w:after="60" w:before="60" w:line="276"/>
      </w:pPr>
      <w:r>
        <w:rPr>
          <w:rFonts w:ascii="Arial" w:cs="Arial" w:eastAsia="Arial" w:hAnsi="Arial"/>
          <w:sz w:val="20"/>
          <w:szCs w:val="20"/>
        </w:rPr>
        <w:t xml:space="preserve">Increase → Company raised selling prices or secured lower input/material costs.</w:t>
      </w:r>
    </w:p>
    <w:p>
      <w:pPr>
        <w:pStyle w:val="ListParagraph"/>
        <w:numPr>
          <w:ilvl w:val="1"/>
          <w:numId w:val="3"/>
        </w:numPr>
        <w:spacing w:after="60" w:before="60" w:line="276"/>
      </w:pPr>
      <w:r>
        <w:rPr>
          <w:rFonts w:ascii="Arial" w:cs="Arial" w:eastAsia="Arial" w:hAnsi="Arial"/>
          <w:sz w:val="20"/>
          <w:szCs w:val="20"/>
        </w:rPr>
        <w:t xml:space="preserve">Decrease → Rising raw material costs, production inefficiencies, or price discounting to clear inventory.</w:t>
      </w:r>
    </w:p>
    <w:p>
      <w:pPr>
        <w:spacing w:after="0" w:before="60"/>
      </w:pPr>
    </w:p>
    <w:p>
      <w:pPr>
        <w:spacing w:after="80" w:before="80" w:line="276"/>
      </w:pPr>
      <w:r>
        <w:rPr>
          <w:rFonts w:ascii="Arial" w:cs="Arial" w:eastAsia="Arial" w:hAnsi="Arial"/>
          <w:sz w:val="20"/>
          <w:szCs w:val="20"/>
        </w:rPr>
        <w:t xml:space="preserve">Operating Margin Changes:</w:t>
      </w:r>
    </w:p>
    <w:p>
      <w:pPr>
        <w:pStyle w:val="ListParagraph"/>
        <w:numPr>
          <w:ilvl w:val="1"/>
          <w:numId w:val="3"/>
        </w:numPr>
        <w:spacing w:after="60" w:before="60" w:line="276"/>
      </w:pPr>
      <w:r>
        <w:rPr>
          <w:rFonts w:ascii="Arial" w:cs="Arial" w:eastAsia="Arial" w:hAnsi="Arial"/>
          <w:sz w:val="20"/>
          <w:szCs w:val="20"/>
        </w:rPr>
        <w:t xml:space="preserve">Increase → Effective overhead management.</w:t>
      </w:r>
    </w:p>
    <w:p>
      <w:pPr>
        <w:pStyle w:val="ListParagraph"/>
        <w:numPr>
          <w:ilvl w:val="1"/>
          <w:numId w:val="3"/>
        </w:numPr>
        <w:spacing w:after="60" w:before="60" w:line="276"/>
      </w:pPr>
      <w:r>
        <w:rPr>
          <w:rFonts w:ascii="Arial" w:cs="Arial" w:eastAsia="Arial" w:hAnsi="Arial"/>
          <w:sz w:val="20"/>
          <w:szCs w:val="20"/>
        </w:rPr>
        <w:t xml:space="preserve">Decrease (while Gross Margin is flat) → Administrative or distribution costs grew faster than sales revenue.</w:t>
      </w:r>
    </w:p>
    <w:p>
      <w:pPr>
        <w:spacing w:after="0" w:before="200"/>
      </w:pPr>
    </w:p>
    <w:p>
      <w:pPr>
        <w:pStyle w:val="Heading2"/>
        <w:pBdr>
          <w:bottom w:val="single" w:color="2E75B6" w:sz="6" w:space="4"/>
        </w:pBdr>
        <w:spacing w:after="120" w:before="280"/>
      </w:pPr>
      <w:r>
        <w:rPr>
          <w:rFonts w:ascii="Arial" w:cs="Arial" w:eastAsia="Arial" w:hAnsi="Arial"/>
          <w:b/>
          <w:bCs/>
          <w:color w:val="1F4E79"/>
          <w:sz w:val="26"/>
          <w:szCs w:val="26"/>
        </w:rPr>
        <w:t xml:space="preserve">3.3  Asset Turnover</w:t>
      </w:r>
    </w:p>
    <w:p>
      <w:pPr>
        <w:spacing w:after="0" w:before="60"/>
      </w:pPr>
    </w:p>
    <w:p>
      <w:pPr>
        <w:spacing w:after="80" w:before="80" w:line="276"/>
      </w:pPr>
      <w:r>
        <w:rPr>
          <w:rFonts w:ascii="Arial" w:cs="Arial" w:eastAsia="Arial" w:hAnsi="Arial"/>
          <w:sz w:val="20"/>
          <w:szCs w:val="20"/>
        </w:rPr>
        <w:t xml:space="preserve">Asset turnover measures how effectively a company utilizes its assets to generate sales volume.</w:t>
      </w:r>
    </w:p>
    <w:p>
      <w:pPr>
        <w:spacing w:after="0" w:before="120"/>
      </w:pPr>
    </w:p>
    <w:p>
      <w:pPr>
        <w:pStyle w:val="Heading3"/>
        <w:spacing w:after="80" w:before="200"/>
      </w:pPr>
      <w:r>
        <w:rPr>
          <w:rFonts w:ascii="Arial" w:cs="Arial" w:eastAsia="Arial" w:hAnsi="Arial"/>
          <w:b/>
          <w:bCs/>
          <w:color w:val="2E75B6"/>
          <w:sz w:val="22"/>
          <w:szCs w:val="22"/>
        </w:rPr>
        <w:t xml:space="preserve">Formula</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Asset Turnover  =  Revenue / Capital Employed   (expressed in times)</w:t>
      </w:r>
    </w:p>
    <w:p>
      <w:pPr>
        <w:spacing w:after="0" w:before="120"/>
      </w:pPr>
    </w:p>
    <w:p>
      <w:pPr>
        <w:pStyle w:val="Heading3"/>
        <w:spacing w:after="80" w:before="200"/>
      </w:pPr>
      <w:r>
        <w:rPr>
          <w:rFonts w:ascii="Arial" w:cs="Arial" w:eastAsia="Arial" w:hAnsi="Arial"/>
          <w:b/>
          <w:bCs/>
          <w:color w:val="2E75B6"/>
          <w:sz w:val="22"/>
          <w:szCs w:val="22"/>
        </w:rPr>
        <w:t xml:space="preserve">Movement Interpretation</w:t>
      </w:r>
    </w:p>
    <w:p>
      <w:pPr>
        <w:spacing w:after="0" w:before="60"/>
      </w:pPr>
    </w:p>
    <w:p>
      <w:pPr>
        <w:pStyle w:val="ListParagraph"/>
        <w:numPr>
          <w:ilvl w:val="0"/>
          <w:numId w:val="3"/>
        </w:numPr>
        <w:spacing w:after="60" w:before="60" w:line="276"/>
      </w:pPr>
      <w:r>
        <w:rPr>
          <w:rFonts w:ascii="Arial" w:cs="Arial" w:eastAsia="Arial" w:hAnsi="Arial"/>
          <w:sz w:val="20"/>
          <w:szCs w:val="20"/>
        </w:rPr>
        <w:t xml:space="preserve">Increase → Company utilizes existing capital assets more intensively to generate sales revenue.</w:t>
      </w:r>
    </w:p>
    <w:p>
      <w:pPr>
        <w:pStyle w:val="ListParagraph"/>
        <w:numPr>
          <w:ilvl w:val="0"/>
          <w:numId w:val="3"/>
        </w:numPr>
        <w:spacing w:after="60" w:before="60" w:line="276"/>
      </w:pPr>
      <w:r>
        <w:rPr>
          <w:rFonts w:ascii="Arial" w:cs="Arial" w:eastAsia="Arial" w:hAnsi="Arial"/>
          <w:sz w:val="20"/>
          <w:szCs w:val="20"/>
        </w:rPr>
        <w:t xml:space="preserve">Decrease → Asset base has expanded but additions are not yet generating proportional gains in sales volume.</w:t>
      </w:r>
    </w:p>
    <w:p>
      <w:pPr>
        <w:spacing w:after="0" w:before="200"/>
      </w:pPr>
    </w:p>
    <w:p>
      <w:pPr>
        <w:pStyle w:val="Heading2"/>
        <w:pBdr>
          <w:bottom w:val="single" w:color="2E75B6" w:sz="6" w:space="4"/>
        </w:pBdr>
        <w:spacing w:after="120" w:before="280"/>
      </w:pPr>
      <w:r>
        <w:rPr>
          <w:rFonts w:ascii="Arial" w:cs="Arial" w:eastAsia="Arial" w:hAnsi="Arial"/>
          <w:b/>
          <w:bCs/>
          <w:color w:val="1F4E79"/>
          <w:sz w:val="26"/>
          <w:szCs w:val="26"/>
        </w:rPr>
        <w:t xml:space="preserve">3.4  The Relationship Between Margin and Turnover</w:t>
      </w:r>
    </w:p>
    <w:p>
      <w:pPr>
        <w:spacing w:after="0" w:before="60"/>
      </w:pPr>
    </w:p>
    <w:p>
      <w:pPr>
        <w:spacing w:after="80" w:before="80" w:line="276"/>
      </w:pPr>
      <w:r>
        <w:rPr>
          <w:rFonts w:ascii="Arial" w:cs="Arial" w:eastAsia="Arial" w:hAnsi="Arial"/>
          <w:sz w:val="20"/>
          <w:szCs w:val="20"/>
        </w:rPr>
        <w:t xml:space="preserve">There is an explicit mathematical relationship between Operating Profit Margin and Asset Turnover — they are the twin components that drive ROCE:</w:t>
      </w:r>
    </w:p>
    <w:p>
      <w:pPr>
        <w:spacing w:after="0" w:before="8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ROCE  =  Operating Profit Margin  ×  Asset Turnover</w:t>
      </w:r>
    </w:p>
    <w:p>
      <w:pPr>
        <w:spacing w:after="0" w:before="8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(PBIT / Revenue × 100%)  ×  (Revenue / Capital Employed)  =  PBIT / Capital Employed × 100%</w:t>
      </w:r>
    </w:p>
    <w:p>
      <w:pPr>
        <w:spacing w:after="0" w:before="120"/>
      </w:pPr>
    </w:p>
    <w:p>
      <w:pPr>
        <w:pStyle w:val="Heading3"/>
        <w:spacing w:after="80" w:before="200"/>
      </w:pPr>
      <w:r>
        <w:rPr>
          <w:rFonts w:ascii="Arial" w:cs="Arial" w:eastAsia="Arial" w:hAnsi="Arial"/>
          <w:b/>
          <w:bCs/>
          <w:color w:val="2E75B6"/>
          <w:sz w:val="22"/>
          <w:szCs w:val="22"/>
        </w:rPr>
        <w:t xml:space="preserve">The Strategic Trade-off</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Strategy</w:t>
            </w:r>
          </w:p>
        </w:tc>
        <w:tc>
          <w:tcPr>
            <w:tcW w:type="dxa" w:w="348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Business</w:t>
            </w:r>
          </w:p>
        </w:tc>
        <w:tc>
          <w:tcPr>
            <w:tcW w:type="dxa" w:w="348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Characteristic</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High Margin / Low Turnover</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High-end boutique retail</w:t>
            </w:r>
          </w:p>
        </w:tc>
        <w:tc>
          <w:tcPr>
            <w:tcW w:type="dxa" w:w="34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Fewer units sold but high profit on each sale.</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Low Margin / High Turnover</w:t>
            </w:r>
          </w:p>
        </w:tc>
        <w:tc>
          <w:tcPr>
            <w:tcW w:type="dxa" w:w="34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Supermarkets / discount stores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Tight margins but substantial volume → healthy ROCE.</w:t>
            </w:r>
          </w:p>
        </w:tc>
      </w:tr>
    </w:tbl>
    <w:p>
      <w:pPr>
        <w:spacing w:after="0" w:before="120"/>
      </w:pPr>
    </w:p>
    <w:p>
      <w:pPr>
        <w:spacing w:after="60" w:before="160"/>
      </w:pPr>
      <w:r>
        <w:rPr>
          <w:rFonts w:ascii="Arial" w:cs="Arial" w:eastAsia="Arial" w:hAnsi="Arial"/>
          <w:b/>
          <w:bCs/>
          <w:i/>
          <w:iCs/>
          <w:color w:val="444444"/>
          <w:sz w:val="20"/>
          <w:szCs w:val="20"/>
        </w:rPr>
        <w:t xml:space="preserve">⚠  Common Mistakes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4"/>
              <w:left w:val="single" w:color="E8A000" w:sz="4"/>
              <w:bottom w:val="single" w:color="E8A000" w:sz="4"/>
              <w:right w:val="single" w:color="E8A000" w:sz="4"/>
            </w:tcBorders>
            <w:shd w:fill="FFF8E1" w:val="clear"/>
            <w:tcMar>
              <w:top w:type="dxa" w:w="120"/>
              <w:left w:type="dxa" w:w="200"/>
              <w:bottom w:type="dxa" w:w="120"/>
              <w:right w:type="dxa" w:w="200"/>
            </w:tcMar>
          </w:tcPr>
          <w:p>
            <w:pPr>
              <w:spacing w:after="0" w:before="0" w:line="276"/>
            </w:pPr>
            <w:r>
              <w:rPr>
                <w:rFonts w:ascii="Arial" w:cs="Arial" w:eastAsia="Arial" w:hAnsi="Arial"/>
                <w:color w:val="7B1C00"/>
                <w:sz w:val="19"/>
                <w:szCs w:val="19"/>
              </w:rPr>
              <w:t xml:space="preserve">• Never evaluate a drop in profit margin as poor performance without checking whether asset turnover rose due to volume discounting. Ratios must be analyzed in combination, not isolation.</w:t>
            </w:r>
          </w:p>
        </w:tc>
      </w:tr>
    </w:tbl>
    <w:p>
      <w:pPr>
        <w:spacing w:after="0" w:before="200"/>
      </w:pPr>
    </w:p>
    <w:p>
      <w:pPr>
        <w:pStyle w:val="Heading2"/>
        <w:pBdr>
          <w:bottom w:val="single" w:color="2E75B6" w:sz="6" w:space="4"/>
        </w:pBdr>
        <w:spacing w:after="120" w:before="280"/>
      </w:pPr>
      <w:r>
        <w:rPr>
          <w:rFonts w:ascii="Arial" w:cs="Arial" w:eastAsia="Arial" w:hAnsi="Arial"/>
          <w:b/>
          <w:bCs/>
          <w:color w:val="1F4E79"/>
          <w:sz w:val="26"/>
          <w:szCs w:val="26"/>
        </w:rPr>
        <w:t xml:space="preserve">Profitability — Worked Example</w:t>
      </w:r>
    </w:p>
    <w:p>
      <w:pPr>
        <w:spacing w:after="0" w:before="60"/>
      </w:pPr>
    </w:p>
    <w:p>
      <w:pPr>
        <w:spacing w:after="80" w:before="80" w:line="276"/>
      </w:pPr>
      <w:r>
        <w:rPr>
          <w:rFonts w:ascii="Arial" w:cs="Arial" w:eastAsia="Arial" w:hAnsi="Arial"/>
          <w:sz w:val="20"/>
          <w:szCs w:val="20"/>
        </w:rPr>
        <w:t xml:space="preserve">Company A financial details over two consecutive periods: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c>
          <w:tcPr>
            <w:tcW w:type="dxa" w:w="456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240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 ($)</w:t>
            </w:r>
          </w:p>
        </w:tc>
        <w:tc>
          <w:tcPr>
            <w:tcW w:type="dxa" w:w="240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2 ($)</w:t>
            </w:r>
          </w:p>
        </w:tc>
      </w:tr>
      <w:tr>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Revenue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400,000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500,000</w:t>
            </w:r>
          </w:p>
        </w:tc>
      </w:tr>
      <w:tr>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Cost of Sales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(240,000)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(325,000)</w:t>
            </w:r>
          </w:p>
        </w:tc>
      </w:tr>
      <w:tr>
        <w:tc>
          <w:tcPr>
            <w:tcW w:type="dxa" w:w="4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Gross Profit</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right"/>
            </w:pPr>
            <w:r>
              <w:rPr>
                <w:rFonts w:ascii="Arial" w:cs="Arial" w:eastAsia="Arial" w:hAnsi="Arial"/>
                <w:b/>
                <w:bCs/>
                <w:sz w:val="19"/>
                <w:szCs w:val="19"/>
              </w:rPr>
              <w:t xml:space="preserve">160,000</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right"/>
            </w:pPr>
            <w:r>
              <w:rPr>
                <w:rFonts w:ascii="Arial" w:cs="Arial" w:eastAsia="Arial" w:hAnsi="Arial"/>
                <w:b/>
                <w:bCs/>
                <w:sz w:val="19"/>
                <w:szCs w:val="19"/>
              </w:rPr>
              <w:t xml:space="preserve">175,000</w:t>
            </w:r>
          </w:p>
        </w:tc>
      </w:tr>
      <w:tr>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Operating Expenses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(60,000)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(65,000)</w:t>
            </w:r>
          </w:p>
        </w:tc>
      </w:tr>
      <w:tr>
        <w:tc>
          <w:tcPr>
            <w:tcW w:type="dxa" w:w="4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Operating Profit (PBIT)</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right"/>
            </w:pPr>
            <w:r>
              <w:rPr>
                <w:rFonts w:ascii="Arial" w:cs="Arial" w:eastAsia="Arial" w:hAnsi="Arial"/>
                <w:b/>
                <w:bCs/>
                <w:sz w:val="19"/>
                <w:szCs w:val="19"/>
              </w:rPr>
              <w:t xml:space="preserve">100,000</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right"/>
            </w:pPr>
            <w:r>
              <w:rPr>
                <w:rFonts w:ascii="Arial" w:cs="Arial" w:eastAsia="Arial" w:hAnsi="Arial"/>
                <w:b/>
                <w:bCs/>
                <w:sz w:val="19"/>
                <w:szCs w:val="19"/>
              </w:rPr>
              <w:t xml:space="preserve">110,000</w:t>
            </w:r>
          </w:p>
        </w:tc>
      </w:tr>
      <w:tr>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Non-Current Assets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200,000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280,000</w:t>
            </w:r>
          </w:p>
        </w:tc>
      </w:tr>
      <w:tr>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Current Assets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80,000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95,000</w:t>
            </w:r>
          </w:p>
        </w:tc>
      </w:tr>
      <w:tr>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Current Liabilities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(30,000)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(35,000)</w:t>
            </w:r>
          </w:p>
        </w:tc>
      </w:tr>
      <w:tr>
        <w:tc>
          <w:tcPr>
            <w:tcW w:type="dxa" w:w="456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Capital Employed</w:t>
            </w:r>
          </w:p>
        </w:tc>
        <w:tc>
          <w:tcPr>
            <w:tcW w:type="dxa" w:w="24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right"/>
            </w:pPr>
            <w:r>
              <w:rPr>
                <w:rFonts w:ascii="Arial" w:cs="Arial" w:eastAsia="Arial" w:hAnsi="Arial"/>
                <w:b/>
                <w:bCs/>
                <w:sz w:val="19"/>
                <w:szCs w:val="19"/>
              </w:rPr>
              <w:t xml:space="preserve">250,000</w:t>
            </w:r>
          </w:p>
        </w:tc>
        <w:tc>
          <w:tcPr>
            <w:tcW w:type="dxa" w:w="24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right"/>
            </w:pPr>
            <w:r>
              <w:rPr>
                <w:rFonts w:ascii="Arial" w:cs="Arial" w:eastAsia="Arial" w:hAnsi="Arial"/>
                <w:b/>
                <w:bCs/>
                <w:sz w:val="19"/>
                <w:szCs w:val="19"/>
              </w:rPr>
              <w:t xml:space="preserve">340,000</w:t>
            </w:r>
          </w:p>
        </w:tc>
      </w:tr>
    </w:tbl>
    <w:p>
      <w:pPr>
        <w:spacing w:after="0" w:before="160"/>
      </w:pPr>
    </w:p>
    <w:p>
      <w:pPr>
        <w:pStyle w:val="Heading3"/>
        <w:spacing w:after="80" w:before="200"/>
      </w:pPr>
      <w:r>
        <w:rPr>
          <w:rFonts w:ascii="Arial" w:cs="Arial" w:eastAsia="Arial" w:hAnsi="Arial"/>
          <w:b/>
          <w:bCs/>
          <w:color w:val="2E75B6"/>
          <w:sz w:val="22"/>
          <w:szCs w:val="22"/>
        </w:rPr>
        <w:t xml:space="preserve">Ratio Calculations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w:t>
            </w:r>
          </w:p>
        </w:tc>
        <w:tc>
          <w:tcPr>
            <w:tcW w:type="dxa" w:w="308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w:t>
            </w:r>
          </w:p>
        </w:tc>
        <w:tc>
          <w:tcPr>
            <w:tcW w:type="dxa" w:w="308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2</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ROCE</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100,000 / 250,000 = 40.0%</w:t>
            </w:r>
          </w:p>
        </w:tc>
        <w:tc>
          <w:tcPr>
            <w:tcW w:type="dxa" w:w="3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110,000 / 340,000 = 32.4%</w:t>
            </w:r>
          </w:p>
        </w:tc>
      </w:tr>
      <w:tr>
        <w:tc>
          <w:tcPr>
            <w:tcW w:type="dxa" w:w="32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Gross Profit Margin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160,000 / 400,000 = 40.0%</w:t>
            </w:r>
          </w:p>
        </w:tc>
        <w:tc>
          <w:tcPr>
            <w:tcW w:type="dxa" w:w="3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175,000 / 500,000 = 35.0%</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Operating Profit Margin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100,000 / 400,000 = 25.0%</w:t>
            </w:r>
          </w:p>
        </w:tc>
        <w:tc>
          <w:tcPr>
            <w:tcW w:type="dxa" w:w="3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110,000 / 500,000 = 22.0%</w:t>
            </w:r>
          </w:p>
        </w:tc>
      </w:tr>
      <w:tr>
        <w:tc>
          <w:tcPr>
            <w:tcW w:type="dxa" w:w="32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Asset Turnover</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400,000 / 250,000 = 1.60×</w:t>
            </w:r>
          </w:p>
        </w:tc>
        <w:tc>
          <w:tcPr>
            <w:tcW w:type="dxa" w:w="3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500,000 / 340,000 = 1.47×</w:t>
            </w:r>
          </w:p>
        </w:tc>
      </w:tr>
    </w:tbl>
    <w:p>
      <w:pPr>
        <w:spacing w:after="0" w:before="160"/>
      </w:pPr>
    </w:p>
    <w:p>
      <w:pPr>
        <w:pStyle w:val="Heading3"/>
        <w:spacing w:after="80" w:before="200"/>
      </w:pPr>
      <w:r>
        <w:rPr>
          <w:rFonts w:ascii="Arial" w:cs="Arial" w:eastAsia="Arial" w:hAnsi="Arial"/>
          <w:b/>
          <w:bCs/>
          <w:color w:val="2E75B6"/>
          <w:sz w:val="22"/>
          <w:szCs w:val="22"/>
        </w:rPr>
        <w:t xml:space="preserve">Interpretation Analysis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A3A" w:sz="4"/>
              <w:left w:val="single" w:color="3A7A3A" w:sz="4"/>
              <w:bottom w:val="single" w:color="3A7A3A" w:sz="4"/>
              <w:right w:val="single" w:color="3A7A3A" w:sz="4"/>
            </w:tcBorders>
            <w:shd w:fill="E2EFDA" w:val="clear"/>
            <w:tcMar>
              <w:top w:type="dxa" w:w="120"/>
              <w:left w:type="dxa" w:w="200"/>
              <w:bottom w:type="dxa" w:w="120"/>
              <w:right w:type="dxa" w:w="200"/>
            </w:tcMar>
          </w:tcPr>
          <w:p>
            <w:pPr>
              <w:spacing w:after="0" w:before="0" w:line="276"/>
            </w:pPr>
            <w:r>
              <w:rPr>
                <w:rFonts w:ascii="Arial" w:cs="Arial" w:eastAsia="Arial" w:hAnsi="Arial"/>
                <w:color w:val="1A4A1A"/>
                <w:sz w:val="19"/>
                <w:szCs w:val="19"/>
              </w:rPr>
              <w:t xml:space="preserve">ROCE declined from 40% to 32.4%. The Gross Profit Margin fell from 40% to 35%, indicating direct input costs grew faster than selling prices. Although overhead management was effective (operating margin compressed only 3% vs the 5% gross drop), asset turnover also fell from 1.60× to 1.47×, showing the expanded non-current asset base in Year 2 did not generate a proportional revenue increase during the period.</w:t>
            </w:r>
          </w:p>
        </w:tc>
      </w:tr>
    </w:tbl>
    <w:p>
      <w:pPr>
        <w:spacing w:after="0" w:before="240"/>
      </w:pPr>
    </w:p>
    <w:p>
      <w:pPr>
        <w:pStyle w:val="Heading1"/>
        <w:spacing w:after="160" w:before="280"/>
      </w:pPr>
      <w:r>
        <w:rPr>
          <w:rFonts w:ascii="Arial" w:cs="Arial" w:eastAsia="Arial" w:hAnsi="Arial"/>
          <w:b/>
          <w:bCs/>
          <w:color w:val="FFFFFF"/>
          <w:sz w:val="32"/>
          <w:szCs w:val="32"/>
        </w:rPr>
        <w:t xml:space="preserve">4.  Liquidity, Efficiency &amp; Gearing Ratios</w:t>
      </w:r>
    </w:p>
    <w:p>
      <w:pPr>
        <w:spacing w:after="0" w:before="160"/>
      </w:pPr>
    </w:p>
    <w:p>
      <w:pPr>
        <w:pStyle w:val="Heading2"/>
        <w:pBdr>
          <w:bottom w:val="single" w:color="2E75B6" w:sz="6" w:space="4"/>
        </w:pBdr>
        <w:spacing w:after="120" w:before="280"/>
      </w:pPr>
      <w:r>
        <w:rPr>
          <w:rFonts w:ascii="Arial" w:cs="Arial" w:eastAsia="Arial" w:hAnsi="Arial"/>
          <w:b/>
          <w:bCs/>
          <w:color w:val="1F4E79"/>
          <w:sz w:val="26"/>
          <w:szCs w:val="26"/>
        </w:rPr>
        <w:t xml:space="preserve">4.1  Liquidity Ratios</w:t>
      </w:r>
    </w:p>
    <w:p>
      <w:pPr>
        <w:spacing w:after="0" w:before="60"/>
      </w:pPr>
    </w:p>
    <w:p>
      <w:pPr>
        <w:spacing w:after="80" w:before="80" w:line="276"/>
      </w:pPr>
      <w:r>
        <w:rPr>
          <w:rFonts w:ascii="Arial" w:cs="Arial" w:eastAsia="Arial" w:hAnsi="Arial"/>
          <w:sz w:val="20"/>
          <w:szCs w:val="20"/>
        </w:rPr>
        <w:t xml:space="preserve">These ratios look at the structural balance between current assets and current liabilities.</w:t>
      </w:r>
    </w:p>
    <w:p>
      <w:pPr>
        <w:spacing w:after="0" w:before="120"/>
      </w:pPr>
    </w:p>
    <w:p>
      <w:pPr>
        <w:pStyle w:val="Heading3"/>
        <w:spacing w:after="80" w:before="200"/>
      </w:pPr>
      <w:r>
        <w:rPr>
          <w:rFonts w:ascii="Arial" w:cs="Arial" w:eastAsia="Arial" w:hAnsi="Arial"/>
          <w:b/>
          <w:bCs/>
          <w:color w:val="2E75B6"/>
          <w:sz w:val="22"/>
          <w:szCs w:val="22"/>
        </w:rPr>
        <w:t xml:space="preserve">Formulas</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Current Ratio  =  Current Assets / Current Liabilities</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Quick Ratio (Acid Test)  =  (Current Assets − Inventories) / Current Liabilities</w:t>
      </w:r>
    </w:p>
    <w:p>
      <w:pPr>
        <w:spacing w:after="0" w:before="120"/>
      </w:pPr>
    </w:p>
    <w:p>
      <w:pPr>
        <w:pStyle w:val="Heading3"/>
        <w:spacing w:after="80" w:before="200"/>
      </w:pPr>
      <w:r>
        <w:rPr>
          <w:rFonts w:ascii="Arial" w:cs="Arial" w:eastAsia="Arial" w:hAnsi="Arial"/>
          <w:b/>
          <w:bCs/>
          <w:color w:val="2E75B6"/>
          <w:sz w:val="22"/>
          <w:szCs w:val="22"/>
        </w:rPr>
        <w:t xml:space="preserve">Reasoning</w:t>
      </w:r>
    </w:p>
    <w:p>
      <w:pPr>
        <w:spacing w:after="0" w:before="60"/>
      </w:pPr>
    </w:p>
    <w:p>
      <w:pPr>
        <w:pStyle w:val="ListParagraph"/>
        <w:numPr>
          <w:ilvl w:val="0"/>
          <w:numId w:val="3"/>
        </w:numPr>
        <w:spacing w:after="60" w:before="60" w:line="276"/>
      </w:pPr>
      <w:r>
        <w:rPr>
          <w:rFonts w:ascii="Arial" w:cs="Arial" w:eastAsia="Arial" w:hAnsi="Arial"/>
          <w:b/>
          <w:bCs/>
          <w:sz w:val="20"/>
          <w:szCs w:val="20"/>
        </w:rPr>
        <w:t xml:space="preserve">Current Ratio: </w:t>
      </w:r>
      <w:r>
        <w:rPr>
          <w:rFonts w:ascii="Arial" w:cs="Arial" w:eastAsia="Arial" w:hAnsi="Arial"/>
          <w:sz w:val="20"/>
          <w:szCs w:val="20"/>
        </w:rPr>
        <w:t xml:space="preserve">Assesses whether short-term assets provide a sufficient cushion over short-term obligations.</w:t>
      </w:r>
    </w:p>
    <w:p>
      <w:pPr>
        <w:pStyle w:val="ListParagraph"/>
        <w:numPr>
          <w:ilvl w:val="0"/>
          <w:numId w:val="3"/>
        </w:numPr>
        <w:spacing w:after="60" w:before="60" w:line="276"/>
      </w:pPr>
      <w:r>
        <w:rPr>
          <w:rFonts w:ascii="Arial" w:cs="Arial" w:eastAsia="Arial" w:hAnsi="Arial"/>
          <w:b/>
          <w:bCs/>
          <w:sz w:val="20"/>
          <w:szCs w:val="20"/>
        </w:rPr>
        <w:t xml:space="preserve">Quick Ratio: </w:t>
      </w:r>
      <w:r>
        <w:rPr>
          <w:rFonts w:ascii="Arial" w:cs="Arial" w:eastAsia="Arial" w:hAnsi="Arial"/>
          <w:sz w:val="20"/>
          <w:szCs w:val="20"/>
        </w:rPr>
        <w:t xml:space="preserve">A more stringent test — inventory is excluded because it can take significant time to convert into cash (sold on credit first, then receivable collected). Liquid assets restricted to cash, short-term investments, and trade receivables.</w:t>
      </w:r>
    </w:p>
    <w:p>
      <w:pPr>
        <w:spacing w:after="0" w:before="120"/>
      </w:pPr>
    </w:p>
    <w:p>
      <w:pPr>
        <w:pStyle w:val="Heading3"/>
        <w:spacing w:after="80" w:before="200"/>
      </w:pPr>
      <w:r>
        <w:rPr>
          <w:rFonts w:ascii="Arial" w:cs="Arial" w:eastAsia="Arial" w:hAnsi="Arial"/>
          <w:b/>
          <w:bCs/>
          <w:color w:val="2E75B6"/>
          <w:sz w:val="22"/>
          <w:szCs w:val="22"/>
        </w:rPr>
        <w:t xml:space="preserve">Movement Interpretation</w:t>
      </w:r>
    </w:p>
    <w:p>
      <w:pPr>
        <w:spacing w:after="0" w:before="60"/>
      </w:pPr>
    </w:p>
    <w:p>
      <w:pPr>
        <w:pStyle w:val="ListParagraph"/>
        <w:numPr>
          <w:ilvl w:val="0"/>
          <w:numId w:val="3"/>
        </w:numPr>
        <w:spacing w:after="60" w:before="60" w:line="276"/>
      </w:pPr>
      <w:r>
        <w:rPr>
          <w:rFonts w:ascii="Arial" w:cs="Arial" w:eastAsia="Arial" w:hAnsi="Arial"/>
          <w:sz w:val="20"/>
          <w:szCs w:val="20"/>
        </w:rPr>
        <w:t xml:space="preserve">Increase → Improved short-term protection. However, if excessively high it may indicate idle cash, or funds tied up in slow-moving inventory or uncollected receivables.</w:t>
      </w:r>
    </w:p>
    <w:p>
      <w:pPr>
        <w:pStyle w:val="ListParagraph"/>
        <w:numPr>
          <w:ilvl w:val="0"/>
          <w:numId w:val="3"/>
        </w:numPr>
        <w:spacing w:after="60" w:before="60" w:line="276"/>
      </w:pPr>
      <w:r>
        <w:rPr>
          <w:rFonts w:ascii="Arial" w:cs="Arial" w:eastAsia="Arial" w:hAnsi="Arial"/>
          <w:sz w:val="20"/>
          <w:szCs w:val="20"/>
        </w:rPr>
        <w:t xml:space="preserve">Decrease → Liquid buffers contracting; increased short-term risk. Company may struggle to meet payments if suppliers demand cash unexpectedly.</w:t>
      </w:r>
    </w:p>
    <w:p>
      <w:pPr>
        <w:spacing w:after="0" w:before="200"/>
      </w:pPr>
    </w:p>
    <w:p>
      <w:pPr>
        <w:pStyle w:val="Heading2"/>
        <w:pBdr>
          <w:bottom w:val="single" w:color="2E75B6" w:sz="6" w:space="4"/>
        </w:pBdr>
        <w:spacing w:after="120" w:before="280"/>
      </w:pPr>
      <w:r>
        <w:rPr>
          <w:rFonts w:ascii="Arial" w:cs="Arial" w:eastAsia="Arial" w:hAnsi="Arial"/>
          <w:b/>
          <w:bCs/>
          <w:color w:val="1F4E79"/>
          <w:sz w:val="26"/>
          <w:szCs w:val="26"/>
        </w:rPr>
        <w:t xml:space="preserve">4.2  Working Capital / Efficiency Ratios</w:t>
      </w:r>
    </w:p>
    <w:p>
      <w:pPr>
        <w:spacing w:after="0" w:before="60"/>
      </w:pPr>
    </w:p>
    <w:p>
      <w:pPr>
        <w:spacing w:after="80" w:before="80" w:line="276"/>
      </w:pPr>
      <w:r>
        <w:rPr>
          <w:rFonts w:ascii="Arial" w:cs="Arial" w:eastAsia="Arial" w:hAnsi="Arial"/>
          <w:sz w:val="20"/>
          <w:szCs w:val="20"/>
        </w:rPr>
        <w:t xml:space="preserve">These ratios track how quickly working capital accounts convert into cash.</w:t>
      </w:r>
    </w:p>
    <w:p>
      <w:pPr>
        <w:spacing w:after="0" w:before="120"/>
      </w:pPr>
    </w:p>
    <w:p>
      <w:pPr>
        <w:pStyle w:val="Heading3"/>
        <w:spacing w:after="80" w:before="200"/>
      </w:pPr>
      <w:r>
        <w:rPr>
          <w:rFonts w:ascii="Arial" w:cs="Arial" w:eastAsia="Arial" w:hAnsi="Arial"/>
          <w:b/>
          <w:bCs/>
          <w:color w:val="2E75B6"/>
          <w:sz w:val="22"/>
          <w:szCs w:val="22"/>
        </w:rPr>
        <w:t xml:space="preserve">Formulas</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Inventory Turnover Period  =  Closing Inventory / Cost of Sales  ×  365   (days)</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Alternative Inventory Ratio  =  Cost of Sales / Inventory   (times)</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Receivables Collection Period  =  Trade Receivables / Revenue  ×  365   (days)</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Payables Payment Period  =  Trade Payables / Cost of Sales  ×  365   (days)</w:t>
      </w:r>
    </w:p>
    <w:p>
      <w:pPr>
        <w:spacing w:after="0" w:before="120"/>
      </w:pPr>
    </w:p>
    <w:p>
      <w:pPr>
        <w:pStyle w:val="Heading3"/>
        <w:spacing w:after="80" w:before="200"/>
      </w:pPr>
      <w:r>
        <w:rPr>
          <w:rFonts w:ascii="Arial" w:cs="Arial" w:eastAsia="Arial" w:hAnsi="Arial"/>
          <w:b/>
          <w:bCs/>
          <w:color w:val="2E75B6"/>
          <w:sz w:val="22"/>
          <w:szCs w:val="22"/>
        </w:rPr>
        <w:t xml:space="preserve">Movement Interpretation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w:t>
            </w:r>
          </w:p>
        </w:tc>
        <w:tc>
          <w:tcPr>
            <w:tcW w:type="dxa" w:w="140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Movement</w:t>
            </w:r>
          </w:p>
        </w:tc>
        <w:tc>
          <w:tcPr>
            <w:tcW w:type="dxa" w:w="556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Operational Meaning</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Inventory Period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Increase ↑</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Trading slowdown, inventory build-up, or obsolete stock accumulations.</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Decrease ↓</w:t>
            </w:r>
          </w:p>
        </w:tc>
        <w:tc>
          <w:tcPr>
            <w:tcW w:type="dxa" w:w="5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Improved sales velocity, or risk of stock-outs disrupting production.</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Receivables Period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Increase ↑</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Poor credit control, client cash flow issues, or generous credit extensions.</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Decrease ↓</w:t>
            </w:r>
          </w:p>
        </w:tc>
        <w:tc>
          <w:tcPr>
            <w:tcW w:type="dxa" w:w="5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Efficient cash collection, or strict policies that might deter clients.</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Payables Period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Increase ↑</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Maximizing free credit, or a lack of long-term cash forcing payment delays.</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Decrease ↓</w:t>
            </w:r>
          </w:p>
        </w:tc>
        <w:tc>
          <w:tcPr>
            <w:tcW w:type="dxa" w:w="5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Paying suppliers early, potentially taking settlement discounts.</w:t>
            </w:r>
          </w:p>
        </w:tc>
      </w:tr>
    </w:tbl>
    <w:p>
      <w:pPr>
        <w:spacing w:after="0" w:before="120"/>
      </w:pPr>
    </w:p>
    <w:p>
      <w:pPr>
        <w:spacing w:after="60" w:before="160"/>
      </w:pPr>
      <w:r>
        <w:rPr>
          <w:rFonts w:ascii="Arial" w:cs="Arial" w:eastAsia="Arial" w:hAnsi="Arial"/>
          <w:b/>
          <w:bCs/>
          <w:i/>
          <w:iCs/>
          <w:color w:val="444444"/>
          <w:sz w:val="20"/>
          <w:szCs w:val="20"/>
        </w:rPr>
        <w:t xml:space="preserve">⚠  Common Mistakes — Denominator Consistency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4"/>
              <w:left w:val="single" w:color="E8A000" w:sz="4"/>
              <w:bottom w:val="single" w:color="E8A000" w:sz="4"/>
              <w:right w:val="single" w:color="E8A000" w:sz="4"/>
            </w:tcBorders>
            <w:shd w:fill="FFF8E1" w:val="clear"/>
            <w:tcMar>
              <w:top w:type="dxa" w:w="120"/>
              <w:left w:type="dxa" w:w="200"/>
              <w:bottom w:type="dxa" w:w="120"/>
              <w:right w:type="dxa" w:w="200"/>
            </w:tcMar>
          </w:tcPr>
          <w:p>
            <w:pPr>
              <w:spacing w:after="40" w:before="0" w:line="276"/>
            </w:pPr>
            <w:r>
              <w:rPr>
                <w:rFonts w:ascii="Arial" w:cs="Arial" w:eastAsia="Arial" w:hAnsi="Arial"/>
                <w:color w:val="7B1C00"/>
                <w:sz w:val="19"/>
                <w:szCs w:val="19"/>
              </w:rPr>
              <w:t xml:space="preserve">• Receivables are driven by sales → always use Revenue in the receivables collection formula.</w:t>
            </w:r>
          </w:p>
          <w:p>
            <w:pPr>
              <w:spacing w:after="40" w:before="40" w:line="276"/>
            </w:pPr>
            <w:r>
              <w:rPr>
                <w:rFonts w:ascii="Arial" w:cs="Arial" w:eastAsia="Arial" w:hAnsi="Arial"/>
                <w:color w:val="7B1C00"/>
                <w:sz w:val="19"/>
                <w:szCs w:val="19"/>
              </w:rPr>
              <w:t xml:space="preserve">• Inventory and payables relate to production inputs → always use Cost of Sales (or Purchases) for inventory and payables formulas.</w:t>
            </w:r>
          </w:p>
          <w:p>
            <w:pPr>
              <w:spacing w:after="0" w:before="40" w:line="276"/>
            </w:pPr>
            <w:r>
              <w:rPr>
                <w:rFonts w:ascii="Arial" w:cs="Arial" w:eastAsia="Arial" w:hAnsi="Arial"/>
                <w:color w:val="7B1C00"/>
                <w:sz w:val="19"/>
                <w:szCs w:val="19"/>
              </w:rPr>
              <w:t xml:space="preserve">• Minor distortion: Receivables in the Statement of Financial Position include sales tax; Revenue in the income statement excludes it. Accept this unless total credit sales inclusive of tax are provided.</w:t>
            </w:r>
          </w:p>
        </w:tc>
      </w:tr>
    </w:tbl>
    <w:p>
      <w:pPr>
        <w:spacing w:after="0" w:before="200"/>
      </w:pPr>
    </w:p>
    <w:p>
      <w:pPr>
        <w:pStyle w:val="Heading2"/>
        <w:pBdr>
          <w:bottom w:val="single" w:color="2E75B6" w:sz="6" w:space="4"/>
        </w:pBdr>
        <w:spacing w:after="120" w:before="280"/>
      </w:pPr>
      <w:r>
        <w:rPr>
          <w:rFonts w:ascii="Arial" w:cs="Arial" w:eastAsia="Arial" w:hAnsi="Arial"/>
          <w:b/>
          <w:bCs/>
          <w:color w:val="1F4E79"/>
          <w:sz w:val="26"/>
          <w:szCs w:val="26"/>
        </w:rPr>
        <w:t xml:space="preserve">4.3  Gearing &amp; Interest Cover</w:t>
      </w:r>
    </w:p>
    <w:p>
      <w:pPr>
        <w:spacing w:after="0" w:before="60"/>
      </w:pPr>
    </w:p>
    <w:p>
      <w:pPr>
        <w:spacing w:after="80" w:before="80" w:line="276"/>
      </w:pPr>
      <w:r>
        <w:rPr>
          <w:rFonts w:ascii="Arial" w:cs="Arial" w:eastAsia="Arial" w:hAnsi="Arial"/>
          <w:sz w:val="20"/>
          <w:szCs w:val="20"/>
        </w:rPr>
        <w:t xml:space="preserve">Gearing examines the long-term capital structure and the business's financial reliance on interest-bearing debt vs. equity funding.</w:t>
      </w:r>
    </w:p>
    <w:p>
      <w:pPr>
        <w:spacing w:after="0" w:before="120"/>
      </w:pPr>
    </w:p>
    <w:p>
      <w:pPr>
        <w:pStyle w:val="Heading3"/>
        <w:spacing w:after="80" w:before="200"/>
      </w:pPr>
      <w:r>
        <w:rPr>
          <w:rFonts w:ascii="Arial" w:cs="Arial" w:eastAsia="Arial" w:hAnsi="Arial"/>
          <w:b/>
          <w:bCs/>
          <w:color w:val="2E75B6"/>
          <w:sz w:val="22"/>
          <w:szCs w:val="22"/>
        </w:rPr>
        <w:t xml:space="preserve">Formulas</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Gearing (Debt/Capital Base)  =  Long-Term Debt / (Equity + Long-Term Debt)  ×  100%</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Alternative Gearing (Debt/Equity)  =  Long-Term Debt / Shareholders' Equity  ×  100%</w:t>
      </w:r>
    </w:p>
    <w:p>
      <w:pPr>
        <w:spacing w:after="0" w:before="60"/>
      </w:pPr>
    </w:p>
    <w:p>
      <w:pPr>
        <w:pBdr>
          <w:left w:val="single" w:color="2E75B6" w:sz="12" w:space="8"/>
        </w:pBdr>
        <w:shd w:fill="EBF3FB" w:val="clear"/>
        <w:spacing w:after="140" w:before="140"/>
        <w:jc w:val="center"/>
      </w:pPr>
      <w:r>
        <w:rPr>
          <w:rFonts w:ascii="Courier New" w:cs="Courier New" w:eastAsia="Courier New" w:hAnsi="Courier New"/>
          <w:i/>
          <w:iCs/>
          <w:color w:val="1A1A2E"/>
          <w:sz w:val="20"/>
          <w:szCs w:val="20"/>
        </w:rPr>
        <w:t xml:space="preserve">Interest Cover  =  PBIT / Interest Expense   (expressed in times)</w:t>
      </w:r>
    </w:p>
    <w:p>
      <w:pPr>
        <w:spacing w:after="0" w:before="120"/>
      </w:pPr>
    </w:p>
    <w:p>
      <w:pPr>
        <w:pStyle w:val="Heading3"/>
        <w:spacing w:after="80" w:before="200"/>
      </w:pPr>
      <w:r>
        <w:rPr>
          <w:rFonts w:ascii="Arial" w:cs="Arial" w:eastAsia="Arial" w:hAnsi="Arial"/>
          <w:b/>
          <w:bCs/>
          <w:color w:val="2E75B6"/>
          <w:sz w:val="22"/>
          <w:szCs w:val="22"/>
        </w:rPr>
        <w:t xml:space="preserve">Reasoning</w:t>
      </w:r>
    </w:p>
    <w:p>
      <w:pPr>
        <w:spacing w:after="0" w:before="60"/>
      </w:pPr>
    </w:p>
    <w:p>
      <w:pPr>
        <w:pStyle w:val="ListParagraph"/>
        <w:numPr>
          <w:ilvl w:val="0"/>
          <w:numId w:val="3"/>
        </w:numPr>
        <w:spacing w:after="60" w:before="60" w:line="276"/>
      </w:pPr>
      <w:r>
        <w:rPr>
          <w:rFonts w:ascii="Arial" w:cs="Arial" w:eastAsia="Arial" w:hAnsi="Arial"/>
          <w:b/>
          <w:bCs/>
          <w:sz w:val="20"/>
          <w:szCs w:val="20"/>
        </w:rPr>
        <w:t xml:space="preserve">Gearing: </w:t>
      </w:r>
      <w:r>
        <w:rPr>
          <w:rFonts w:ascii="Arial" w:cs="Arial" w:eastAsia="Arial" w:hAnsi="Arial"/>
          <w:sz w:val="20"/>
          <w:szCs w:val="20"/>
        </w:rPr>
        <w:t xml:space="preserve">High dependency on long-term debt increases financial risk. Debt creates fixed interest obligations that must be met regardless of performance — unlike equity dividends which are discretionary.</w:t>
      </w:r>
    </w:p>
    <w:p>
      <w:pPr>
        <w:pStyle w:val="ListParagraph"/>
        <w:numPr>
          <w:ilvl w:val="0"/>
          <w:numId w:val="3"/>
        </w:numPr>
        <w:spacing w:after="60" w:before="60" w:line="276"/>
      </w:pPr>
      <w:r>
        <w:rPr>
          <w:rFonts w:ascii="Arial" w:cs="Arial" w:eastAsia="Arial" w:hAnsi="Arial"/>
          <w:b/>
          <w:bCs/>
          <w:sz w:val="20"/>
          <w:szCs w:val="20"/>
        </w:rPr>
        <w:t xml:space="preserve">Interest Cover: </w:t>
      </w:r>
      <w:r>
        <w:rPr>
          <w:rFonts w:ascii="Arial" w:cs="Arial" w:eastAsia="Arial" w:hAnsi="Arial"/>
          <w:sz w:val="20"/>
          <w:szCs w:val="20"/>
        </w:rPr>
        <w:t xml:space="preserve">Shows how many times over core operating profits can cover annual finance costs. Measures the safety margin before debt service leads to insolvency.</w:t>
      </w:r>
    </w:p>
    <w:p>
      <w:pPr>
        <w:spacing w:after="0" w:before="120"/>
      </w:pPr>
    </w:p>
    <w:p>
      <w:pPr>
        <w:pStyle w:val="Heading3"/>
        <w:spacing w:after="80" w:before="200"/>
      </w:pPr>
      <w:r>
        <w:rPr>
          <w:rFonts w:ascii="Arial" w:cs="Arial" w:eastAsia="Arial" w:hAnsi="Arial"/>
          <w:b/>
          <w:bCs/>
          <w:color w:val="2E75B6"/>
          <w:sz w:val="22"/>
          <w:szCs w:val="22"/>
        </w:rPr>
        <w:t xml:space="preserve">Movement Interpretation</w:t>
      </w:r>
    </w:p>
    <w:p>
      <w:pPr>
        <w:spacing w:after="0" w:before="60"/>
      </w:pPr>
    </w:p>
    <w:p>
      <w:pPr>
        <w:pStyle w:val="ListParagraph"/>
        <w:numPr>
          <w:ilvl w:val="0"/>
          <w:numId w:val="3"/>
        </w:numPr>
        <w:spacing w:after="60" w:before="60" w:line="276"/>
      </w:pPr>
      <w:r>
        <w:rPr>
          <w:rFonts w:ascii="Arial" w:cs="Arial" w:eastAsia="Arial" w:hAnsi="Arial"/>
          <w:sz w:val="20"/>
          <w:szCs w:val="20"/>
        </w:rPr>
        <w:t xml:space="preserve">Gearing Increase → Financial risk rising. Higher leverage makes profits more volatile for equity holders and can complicate securing future financing.</w:t>
      </w:r>
    </w:p>
    <w:p>
      <w:pPr>
        <w:pStyle w:val="ListParagraph"/>
        <w:numPr>
          <w:ilvl w:val="0"/>
          <w:numId w:val="3"/>
        </w:numPr>
        <w:spacing w:after="60" w:before="60" w:line="276"/>
      </w:pPr>
      <w:r>
        <w:rPr>
          <w:rFonts w:ascii="Arial" w:cs="Arial" w:eastAsia="Arial" w:hAnsi="Arial"/>
          <w:sz w:val="20"/>
          <w:szCs w:val="20"/>
        </w:rPr>
        <w:t xml:space="preserve">Interest Cover Decrease → Safety cushion shrinking. A minor operational downturn could leave profits insufficient to cover contractual interest expenses.</w:t>
      </w:r>
    </w:p>
    <w:p>
      <w:pPr>
        <w:spacing w:after="0" w:before="200"/>
      </w:pPr>
    </w:p>
    <w:p>
      <w:pPr>
        <w:pStyle w:val="Heading2"/>
        <w:pBdr>
          <w:bottom w:val="single" w:color="2E75B6" w:sz="6" w:space="4"/>
        </w:pBdr>
        <w:spacing w:after="120" w:before="280"/>
      </w:pPr>
      <w:r>
        <w:rPr>
          <w:rFonts w:ascii="Arial" w:cs="Arial" w:eastAsia="Arial" w:hAnsi="Arial"/>
          <w:b/>
          <w:bCs/>
          <w:color w:val="1F4E79"/>
          <w:sz w:val="26"/>
          <w:szCs w:val="26"/>
        </w:rPr>
        <w:t xml:space="preserve">Liquidity, Efficiency &amp; Gearing — Worked Example</w:t>
      </w:r>
    </w:p>
    <w:p>
      <w:pPr>
        <w:spacing w:after="0" w:before="60"/>
      </w:pPr>
    </w:p>
    <w:p>
      <w:pPr>
        <w:spacing w:after="80" w:before="80" w:line="276"/>
      </w:pPr>
      <w:r>
        <w:rPr>
          <w:rFonts w:ascii="Arial" w:cs="Arial" w:eastAsia="Arial" w:hAnsi="Arial"/>
          <w:sz w:val="20"/>
          <w:szCs w:val="20"/>
        </w:rPr>
        <w:t xml:space="preserve">Company A working capital position and funding structure over two periods: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c>
          <w:tcPr>
            <w:tcW w:type="dxa" w:w="456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240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 ($)</w:t>
            </w:r>
          </w:p>
        </w:tc>
        <w:tc>
          <w:tcPr>
            <w:tcW w:type="dxa" w:w="240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2 ($)</w:t>
            </w:r>
          </w:p>
        </w:tc>
      </w:tr>
      <w:tr>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Revenue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400,000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500,000</w:t>
            </w:r>
          </w:p>
        </w:tc>
      </w:tr>
      <w:tr>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Cost of Sales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240,000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325,000</w:t>
            </w:r>
          </w:p>
        </w:tc>
      </w:tr>
      <w:tr>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PBIT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100,000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110,000</w:t>
            </w:r>
          </w:p>
        </w:tc>
      </w:tr>
      <w:tr>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Interest Expense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10,000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25,000</w:t>
            </w:r>
          </w:p>
        </w:tc>
      </w:tr>
      <w:tr>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Inventory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40,000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70,000</w:t>
            </w:r>
          </w:p>
        </w:tc>
      </w:tr>
      <w:tr>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Trade Receivables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35,000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60,000</w:t>
            </w:r>
          </w:p>
        </w:tc>
      </w:tr>
      <w:tr>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Cash and Bank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5,000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5,000</w:t>
            </w:r>
          </w:p>
        </w:tc>
      </w:tr>
      <w:tr>
        <w:tc>
          <w:tcPr>
            <w:tcW w:type="dxa" w:w="4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Total Current Assets</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right"/>
            </w:pPr>
            <w:r>
              <w:rPr>
                <w:rFonts w:ascii="Arial" w:cs="Arial" w:eastAsia="Arial" w:hAnsi="Arial"/>
                <w:b/>
                <w:bCs/>
                <w:sz w:val="19"/>
                <w:szCs w:val="19"/>
              </w:rPr>
              <w:t xml:space="preserve">80,000</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right"/>
            </w:pPr>
            <w:r>
              <w:rPr>
                <w:rFonts w:ascii="Arial" w:cs="Arial" w:eastAsia="Arial" w:hAnsi="Arial"/>
                <w:b/>
                <w:bCs/>
                <w:sz w:val="19"/>
                <w:szCs w:val="19"/>
              </w:rPr>
              <w:t xml:space="preserve">135,000</w:t>
            </w:r>
          </w:p>
        </w:tc>
      </w:tr>
      <w:tr>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Trade Payables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30,000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55,000</w:t>
            </w:r>
          </w:p>
        </w:tc>
      </w:tr>
      <w:tr>
        <w:tc>
          <w:tcPr>
            <w:tcW w:type="dxa" w:w="4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Total Current Liabilities</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right"/>
            </w:pPr>
            <w:r>
              <w:rPr>
                <w:rFonts w:ascii="Arial" w:cs="Arial" w:eastAsia="Arial" w:hAnsi="Arial"/>
                <w:b/>
                <w:bCs/>
                <w:sz w:val="19"/>
                <w:szCs w:val="19"/>
              </w:rPr>
              <w:t xml:space="preserve">30,000</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right"/>
            </w:pPr>
            <w:r>
              <w:rPr>
                <w:rFonts w:ascii="Arial" w:cs="Arial" w:eastAsia="Arial" w:hAnsi="Arial"/>
                <w:b/>
                <w:bCs/>
                <w:sz w:val="19"/>
                <w:szCs w:val="19"/>
              </w:rPr>
              <w:t xml:space="preserve">55,000</w:t>
            </w:r>
          </w:p>
        </w:tc>
      </w:tr>
      <w:tr>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Long-Term Non-Current Loans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50,000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9"/>
                <w:szCs w:val="19"/>
              </w:rPr>
              <w:t xml:space="preserve">150,000</w:t>
            </w:r>
          </w:p>
        </w:tc>
      </w:tr>
      <w:tr>
        <w:tc>
          <w:tcPr>
            <w:tcW w:type="dxa" w:w="456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Total Shareholders' Equity</w:t>
            </w:r>
          </w:p>
        </w:tc>
        <w:tc>
          <w:tcPr>
            <w:tcW w:type="dxa" w:w="24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right"/>
            </w:pPr>
            <w:r>
              <w:rPr>
                <w:rFonts w:ascii="Arial" w:cs="Arial" w:eastAsia="Arial" w:hAnsi="Arial"/>
                <w:b/>
                <w:bCs/>
                <w:sz w:val="19"/>
                <w:szCs w:val="19"/>
              </w:rPr>
              <w:t xml:space="preserve">200,000</w:t>
            </w:r>
          </w:p>
        </w:tc>
        <w:tc>
          <w:tcPr>
            <w:tcW w:type="dxa" w:w="24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right"/>
            </w:pPr>
            <w:r>
              <w:rPr>
                <w:rFonts w:ascii="Arial" w:cs="Arial" w:eastAsia="Arial" w:hAnsi="Arial"/>
                <w:b/>
                <w:bCs/>
                <w:sz w:val="19"/>
                <w:szCs w:val="19"/>
              </w:rPr>
              <w:t xml:space="preserve">190,000</w:t>
            </w:r>
          </w:p>
        </w:tc>
      </w:tr>
    </w:tbl>
    <w:p>
      <w:pPr>
        <w:spacing w:after="0" w:before="160"/>
      </w:pPr>
    </w:p>
    <w:p>
      <w:pPr>
        <w:pStyle w:val="Heading3"/>
        <w:spacing w:after="80" w:before="200"/>
      </w:pPr>
      <w:r>
        <w:rPr>
          <w:rFonts w:ascii="Arial" w:cs="Arial" w:eastAsia="Arial" w:hAnsi="Arial"/>
          <w:b/>
          <w:bCs/>
          <w:color w:val="2E75B6"/>
          <w:sz w:val="22"/>
          <w:szCs w:val="22"/>
        </w:rPr>
        <w:t xml:space="preserve">Ratio Calculations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w:t>
            </w:r>
          </w:p>
        </w:tc>
        <w:tc>
          <w:tcPr>
            <w:tcW w:type="dxa" w:w="308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w:t>
            </w:r>
          </w:p>
        </w:tc>
        <w:tc>
          <w:tcPr>
            <w:tcW w:type="dxa" w:w="308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2</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Current Ratio</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80,000 / 30,000 = 2.67</w:t>
            </w:r>
          </w:p>
        </w:tc>
        <w:tc>
          <w:tcPr>
            <w:tcW w:type="dxa" w:w="3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135,000 / 55,000 = 2.45</w:t>
            </w:r>
          </w:p>
        </w:tc>
      </w:tr>
      <w:tr>
        <w:tc>
          <w:tcPr>
            <w:tcW w:type="dxa" w:w="32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Quick Ratio</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(80k − 40k) / 30k = 1.33</w:t>
            </w:r>
          </w:p>
        </w:tc>
        <w:tc>
          <w:tcPr>
            <w:tcW w:type="dxa" w:w="3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(135k − 70k) / 55k = 1.18</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Inventory Turnover Period</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40,000/240,000 × 365 = 60.8 days</w:t>
            </w:r>
          </w:p>
        </w:tc>
        <w:tc>
          <w:tcPr>
            <w:tcW w:type="dxa" w:w="3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70,000/325,000 × 365 = 78.6 days</w:t>
            </w:r>
          </w:p>
        </w:tc>
      </w:tr>
      <w:tr>
        <w:tc>
          <w:tcPr>
            <w:tcW w:type="dxa" w:w="32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Receivables Period</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35,000/400,000 × 365 = 31.9 days</w:t>
            </w:r>
          </w:p>
        </w:tc>
        <w:tc>
          <w:tcPr>
            <w:tcW w:type="dxa" w:w="3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60,000/500,000 × 365 = 43.8 days</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Payables Period</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30,000/240,000 × 365 = 45.6 days</w:t>
            </w:r>
          </w:p>
        </w:tc>
        <w:tc>
          <w:tcPr>
            <w:tcW w:type="dxa" w:w="3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55,000/325,000 × 365 = 61.8 days</w:t>
            </w:r>
          </w:p>
        </w:tc>
      </w:tr>
      <w:tr>
        <w:tc>
          <w:tcPr>
            <w:tcW w:type="dxa" w:w="32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Gearing (Debt/Capital)</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50k/(200k+50k) = 20.0%</w:t>
            </w:r>
          </w:p>
        </w:tc>
        <w:tc>
          <w:tcPr>
            <w:tcW w:type="dxa" w:w="3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150k/(190k+150k) = 44.1%</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Interest Cover</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100,000 / 10,000 = 10.0×</w:t>
            </w:r>
          </w:p>
        </w:tc>
        <w:tc>
          <w:tcPr>
            <w:tcW w:type="dxa" w:w="3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sz w:val="19"/>
                <w:szCs w:val="19"/>
              </w:rPr>
              <w:t xml:space="preserve">110,000 / 25,000 = 4.4×</w:t>
            </w:r>
          </w:p>
        </w:tc>
      </w:tr>
    </w:tbl>
    <w:p>
      <w:pPr>
        <w:spacing w:after="0" w:before="160"/>
      </w:pPr>
    </w:p>
    <w:p>
      <w:pPr>
        <w:pStyle w:val="Heading3"/>
        <w:spacing w:after="80" w:before="200"/>
      </w:pPr>
      <w:r>
        <w:rPr>
          <w:rFonts w:ascii="Arial" w:cs="Arial" w:eastAsia="Arial" w:hAnsi="Arial"/>
          <w:b/>
          <w:bCs/>
          <w:color w:val="2E75B6"/>
          <w:sz w:val="22"/>
          <w:szCs w:val="22"/>
        </w:rPr>
        <w:t xml:space="preserve">Interpretation Analysis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A3A" w:sz="4"/>
              <w:left w:val="single" w:color="3A7A3A" w:sz="4"/>
              <w:bottom w:val="single" w:color="3A7A3A" w:sz="4"/>
              <w:right w:val="single" w:color="3A7A3A" w:sz="4"/>
            </w:tcBorders>
            <w:shd w:fill="E2EFDA" w:val="clear"/>
            <w:tcMar>
              <w:top w:type="dxa" w:w="120"/>
              <w:left w:type="dxa" w:w="200"/>
              <w:bottom w:type="dxa" w:w="120"/>
              <w:right w:type="dxa" w:w="200"/>
            </w:tcMar>
          </w:tcPr>
          <w:p>
            <w:pPr>
              <w:spacing w:after="40" w:before="0" w:line="276"/>
            </w:pPr>
            <w:r>
              <w:rPr>
                <w:rFonts w:ascii="Arial" w:cs="Arial" w:eastAsia="Arial" w:hAnsi="Arial"/>
                <w:color w:val="1A4A1A"/>
                <w:sz w:val="19"/>
                <w:szCs w:val="19"/>
              </w:rPr>
              <w:t xml:space="preserve">The working capital position shows growing operational inefficiencies. While the current ratio appears high and stable (2.67 → 2.45), the quick ratio reveals liquidity is increasingly reliant on unsold inventory. The inventory holding period grew from 60.8 to 78.6 days (slow-moving stock). Credit management has slipped — receivables days jumped from 31.9 to 43.8 days.</w:t>
            </w:r>
          </w:p>
          <w:p>
            <w:pPr>
              <w:spacing w:after="40" w:before="40" w:line="276"/>
            </w:pPr>
            <w:r>
              <w:rPr>
                <w:rFonts w:ascii="Arial" w:cs="Arial" w:eastAsia="Arial" w:hAnsi="Arial"/>
                <w:color w:val="1A4A1A"/>
                <w:sz w:val="19"/>
                <w:szCs w:val="19"/>
              </w:rPr>
              <w:t xml:space="preserve"/>
            </w:r>
          </w:p>
          <w:p>
            <w:pPr>
              <w:spacing w:after="0" w:before="40" w:line="276"/>
            </w:pPr>
            <w:r>
              <w:rPr>
                <w:rFonts w:ascii="Arial" w:cs="Arial" w:eastAsia="Arial" w:hAnsi="Arial"/>
                <w:color w:val="1A4A1A"/>
                <w:sz w:val="19"/>
                <w:szCs w:val="19"/>
              </w:rPr>
              <w:t xml:space="preserve">To fund this cash tie-up, management delayed supplier payments (payables: 45.6 → 61.8 days) and took on significantly more debt (gearing: 20% → 44.1%). This raised interest charges from $10,000 to $25,000 annually. Combined with stagnant operating profits, interest coverage fell from a safe 10× down to 4.4×, leaving the business much more vulnerable to unexpected financial headwinds.</w:t>
            </w:r>
          </w:p>
        </w:tc>
      </w:tr>
    </w:tbl>
    <w:p>
      <w:pPr>
        <w:spacing w:after="0" w:before="240"/>
      </w:pPr>
    </w:p>
    <w:p>
      <w:pPr>
        <w:pStyle w:val="Heading1"/>
        <w:spacing w:after="160" w:before="280"/>
      </w:pPr>
      <w:r>
        <w:rPr>
          <w:rFonts w:ascii="Arial" w:cs="Arial" w:eastAsia="Arial" w:hAnsi="Arial"/>
          <w:b/>
          <w:bCs/>
          <w:color w:val="FFFFFF"/>
          <w:sz w:val="32"/>
          <w:szCs w:val="32"/>
        </w:rPr>
        <w:t xml:space="preserve">5.  Limitations of Ratio Analysis</w:t>
      </w:r>
    </w:p>
    <w:p>
      <w:pPr>
        <w:spacing w:after="0" w:before="40"/>
      </w:pPr>
    </w:p>
    <w:p>
      <w:pPr>
        <w:spacing w:after="80" w:before="80" w:line="276"/>
      </w:pPr>
      <w:r>
        <w:rPr>
          <w:rFonts w:ascii="Arial" w:cs="Arial" w:eastAsia="Arial" w:hAnsi="Arial"/>
          <w:sz w:val="20"/>
          <w:szCs w:val="20"/>
        </w:rPr>
        <w:t xml:space="preserve">While ratios are highly useful financial assessment tools, analysts must look beyond the percentages and account for several inherent limitations: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Limitation</w:t>
            </w:r>
          </w:p>
        </w:tc>
        <w:tc>
          <w:tcPr>
            <w:tcW w:type="dxa" w:w="6560"/>
            <w:gridSpan w:val="1"/>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Explanation</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Historical Focus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Ratios look backward at past performance. They describe what has already happened, which may not reflect future trajectory or current performance.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Inflation Distortions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High inflation distorts historical calculations. If asset values are recorded at historic cost while revenue reflects current inflated prices, efficiency metrics like asset turnover appear artificially high.</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Accounting Policy Variances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Companies choose between different methods — e.g. revaluing property vs. historical cost, or straight-line vs. reducing-balance depreciation. These choices complicate direct comparisons between firms.</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Window Dressing</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Management can manipulate transactions before year-end to make ratios look better — e.g. using cash to pay off short-term liabilities on the final day to artificially increase the quick ratio.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Year-End Snapshot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Statement of Financial Position balances represent a single day at year-end. Seasonal businesses may have year-end figures that do not represent typical balances throughout the year.</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Context Obstacles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Ratios highlight financial outcomes but cannot explain underlying drivers. A drop in profitability may be an intentional choice to accept lower margins to win long-term market share, not operational failure.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360"/>
              <w:bottom w:type="dxa" w:w="160"/>
              <w:right w:type="dxa" w:w="360"/>
            </w:tcMar>
          </w:tcPr>
          <w:p>
            <w:pPr>
              <w:jc w:val="center"/>
            </w:pPr>
            <w:r>
              <w:rPr>
                <w:rFonts w:ascii="Arial" w:cs="Arial" w:eastAsia="Arial" w:hAnsi="Arial"/>
                <w:i/>
                <w:iCs/>
                <w:color w:val="BDD7EE"/>
                <w:sz w:val="19"/>
                <w:szCs w:val="19"/>
              </w:rPr>
              <w:t xml:space="preserve">End of Chapter 26  —  Always analyze ratios in combination, with context, and against a meaningful benchmark.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160" w:before="280"/>
      <w:ind w:left="200" w:right="2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2026-06-06T08:59:09.291Z</dcterms:created>
  <dcterms:modified xsi:type="dcterms:W3CDTF">2026-06-06T08:59:09.292Z</dcterms:modified>
</cp:coreProperties>
</file>

<file path=docProps/custom.xml><?xml version="1.0" encoding="utf-8"?>
<Properties xmlns="http://schemas.openxmlformats.org/officeDocument/2006/custom-properties" xmlns:vt="http://schemas.openxmlformats.org/officeDocument/2006/docPropsVTypes"/>
</file>