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z21gklm52i1t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Narrative Story: Insights from Placement Data Analysis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9u02c11ldqx8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Introduction: Understanding Placement Success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today's competitive job market, securing a placement is crucial for students as they transition from academics to professional careers. To understand what influences placement outcomes, we conducted an in-depth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Exploratory Data Analysis (EDA)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placement data. The goal was to uncover meaningful patterns, trends, and key factors affecting a student's chances of getting placed.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8wk8ahp2ig8g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Exploring the Dataset: What the Data Tells Us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dataset contained various student attributes such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CGPA, test scores, academic performance, and placement status.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Before diving into analysis, we ensured data consistency by handling missing values, correcting data types, and converting categorical values where necessary.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of the first observations was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imbalance in placement status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—some students secured jobs while others didn’t. This raised an important question: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What factors contribute to placement success?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w18pnqhj2xya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Key Findings: The Factors Influencing Placement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iuebxno7cmqk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1. Academic Performance Matters – But How Much?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heatmap of correlations between variables revealed that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CGPA had a strong positive correlation with placement success.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Students with higher CGPA were more likely to secure a job. However, there were outliers—some students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low CGPA still got placed,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hinting at the presence of other influencing factors.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dig deeper, we visualized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CGPA vs. Salary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placed students. Surprisingly, while a high CGPA increased the probability of getting placed, it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did not always guarantee a higher salary.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yyl4ip9s89cv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2. The Role of Test Scores in Securing a Job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analyzed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found a significant trend: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Students with higher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aptitude and technical test scores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had a better chance of getting placed.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 students with an average CGPA but high test scores managed to land a job.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highlights the importance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practical skills over just academic excellence.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h1vlabaqmqmp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3. Salary Trends – What Determines a Higher Package?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a student gets placed, the next crucial factor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salary.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Top earners had both high CGPA and strong test scores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reinforcing the idea that employers look for a balance of academic and problem-solving skills.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students secured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higher-than-average salaries despite lower CGPA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likely due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strong communication skills, projects, or internships.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rFonts w:ascii="Calibri" w:cs="Calibri" w:eastAsia="Calibri" w:hAnsi="Calibri"/>
          <w:b w:val="1"/>
          <w:color w:val="000000"/>
          <w:sz w:val="20"/>
          <w:szCs w:val="20"/>
        </w:rPr>
      </w:pPr>
      <w:bookmarkStart w:colFirst="0" w:colLast="0" w:name="_lrevyl8pxo2w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4. Outliers in Placement Trends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Through box plots, we identified outliers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salary distributions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While most students received moderate packages, a few had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exceptionally high salaries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These cases might represent students who had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extraordinary skills, internships, or strong networking opportunities.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Similarly, a small group of students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 CGPA remained unplaced.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This raised another insight—academic performance alone is not enough.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 skills, internships, and networking also play a crucial role.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9gzwnmfkql9x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Conclusion: What We Learned from the Data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analysis revealed some compelling insights: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CGPA is important but not the sole determinant of placements.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scores, practical skills, and problem-solving abilities strongly impact placement chances.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Higher CGPA does not always mean a higher salary.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Students with good academic records but no soft skills or technical exposure struggled to get placed.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5oavw6cfs59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Final Thought: The Formula for Placement Success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data,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winning formula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securing placements emerges:</w:t>
        <w:br w:type="textWrapping"/>
        <w:t xml:space="preserve"> ✔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Balanced CGPA (not necessarily the highest)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✔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Strong problem-solving and test scores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✔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Internships, projects, and hands-on skills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✔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Good communication and interview performance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students preparing for placements, this analysis emphasizes the importance of holistic development—beyond just grades, gaining real-world experience and communication skills is key to success.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