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0" w:after="30" w:line="240" w:lineRule="auto"/>
      </w:pPr>
      <w:r>
        <w:rPr>
          <w:rFonts w:ascii="Calibri" w:hAnsi="Calibri" w:eastAsia="Calibri"/>
          <w:b/>
          <w:i w:val="0"/>
          <w:color w:val="147D92"/>
          <w:sz w:val="14"/>
        </w:rPr>
        <w:t>PRODUCT AND ENGINEERING SPECIFICATION • VERSION 1.0</w:t>
      </w:r>
    </w:p>
    <w:p>
      <w:pPr>
        <w:pStyle w:val="Title"/>
        <w:jc w:val="left"/>
      </w:pPr>
      <w:r>
        <w:t>Offline Social-Engineering Training &amp; Evaluation Application</w:t>
      </w:r>
    </w:p>
    <w:p>
      <w:pPr>
        <w:pStyle w:val="Subtitle"/>
      </w:pPr>
      <w:r>
        <w:t>A self-contained build brief for a safe, scenario-rich system limited to WhatsApp, Instagram, Email and SMS</w:t>
      </w:r>
    </w:p>
    <w:p>
      <w:pPr>
        <w:keepLines/>
        <w:spacing w:before="0" w:after="60" w:line="240" w:lineRule="auto"/>
      </w:pPr>
      <w:r>
        <w:rPr>
          <w:rFonts w:ascii="Calibri" w:hAnsi="Calibri" w:eastAsia="Calibri"/>
          <w:b/>
          <w:i w:val="0"/>
          <w:color w:val="1F5D7A"/>
          <w:sz w:val="14"/>
        </w:rPr>
        <w:t>AUDIENCE: Developer / technical lead   |   DEPLOYMENT: closed offline LAN, with standalone mode   |   ATTEMPT: 10 scenarios, 5-6 stages each   |   RESULT: 0-100 + progress history</w:t>
      </w:r>
    </w:p>
    <w:p>
      <w:pPr>
        <w:keepLines/>
        <w:spacing w:before="40" w:after="60" w:line="240" w:lineRule="auto"/>
        <w:shd w:val="clear" w:fill="E8F2F6"/>
        <w:pBdr>
          <w:left w:val="single" w:sz="22" w:space="7" w:color="147D92"/>
        </w:pBdr>
        <w:ind w:left="150" w:right="100"/>
      </w:pPr>
      <w:r>
        <w:rPr>
          <w:rFonts w:ascii="Calibri" w:hAnsi="Calibri" w:eastAsia="Calibri"/>
          <w:b/>
          <w:color w:val="147D92"/>
          <w:sz w:val="15"/>
        </w:rPr>
        <w:t xml:space="preserve">BUILD OUTCOME  </w:t>
      </w:r>
      <w:r>
        <w:rPr>
          <w:rFonts w:ascii="Calibri" w:hAnsi="Calibri" w:eastAsia="Calibri"/>
          <w:color w:val="172B3A"/>
          <w:sz w:val="16"/>
        </w:rPr>
        <w:t>A learner signs in with name and service/personal number, works inside four generic application simulators, completes ten unpredictable but coverage-balanced narratives, receives explainable feedback, and logs out. The next learner can use the same PC without seeing the prior session. Instructors manage content and results locally; the product never sends a real message or reaches the internet.</w:t>
      </w:r>
    </w:p>
    <w:p>
      <w:pPr>
        <w:pStyle w:val="Heading1"/>
        <w:keepNext/>
        <w:keepLines/>
      </w:pPr>
      <w:r>
        <w:t>1. Product contract and reconciled scope</w:t>
      </w:r>
    </w:p>
    <w:p>
      <w:pPr>
        <w:keepLines/>
        <w:spacing w:before="0" w:after="40" w:line="240" w:lineRule="auto"/>
      </w:pPr>
      <w:r>
        <w:rPr>
          <w:rFonts w:ascii="Calibri" w:hAnsi="Calibri" w:eastAsia="Calibri"/>
          <w:b/>
          <w:i w:val="0"/>
          <w:color w:val="0B2545"/>
          <w:sz w:val="16"/>
        </w:rPr>
        <w:t xml:space="preserve">Purpose. </w:t>
      </w:r>
      <w:r>
        <w:rPr>
          <w:rFonts w:ascii="Calibri" w:hAnsi="Calibri" w:eastAsia="Calibri"/>
          <w:b w:val="0"/>
          <w:i w:val="0"/>
          <w:color w:val="172B3A"/>
          <w:sz w:val="16"/>
        </w:rPr>
        <w:t xml:space="preserve">Train and evaluate the pause-inspect-verify habit against attempts to obtain information, money, credentials/OTP codes or access to a mobile account/device. It is an educational simulator, not an offensive toolkit or a clinical psychology test. </w:t>
      </w:r>
      <w:r>
        <w:rPr>
          <w:rFonts w:ascii="Calibri" w:hAnsi="Calibri" w:eastAsia="Calibri"/>
          <w:b/>
          <w:i w:val="0"/>
          <w:color w:val="0B2545"/>
          <w:sz w:val="16"/>
        </w:rPr>
        <w:t>Success means</w:t>
      </w:r>
      <w:r>
        <w:rPr>
          <w:rFonts w:ascii="Calibri" w:hAnsi="Calibri" w:eastAsia="Calibri"/>
          <w:b w:val="0"/>
          <w:i w:val="0"/>
          <w:color w:val="172B3A"/>
          <w:sz w:val="16"/>
        </w:rPr>
        <w:t xml:space="preserve"> realistic decisions, consistent scoring, saved improvement and safe offline operation - not pixel-perfect copying of commercial brands.</w:t>
      </w:r>
    </w:p>
    <w:tbl>
      <w:tblPr>
        <w:tblW w:type="dxa" w:w="1051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800"/>
        <w:gridCol w:w="8712"/>
      </w:tblGrid>
      <w:tr>
        <w:trPr>
          <w:tblHeader w:val="true"/>
        </w:trP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87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Version-1 requirement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Channels</w:t>
            </w:r>
          </w:p>
        </w:tc>
        <w:tc>
          <w:tcPr>
            <w:tcW w:type="dxa" w:w="87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WhatsApp-style chat/call UI, Instagram-style feed/DM, webmail-style Email, native-style SMS. Every attempt includes all four.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Attempt</w:t>
            </w:r>
          </w:p>
        </w:tc>
        <w:tc>
          <w:tcPr>
            <w:tcW w:type="dxa" w:w="87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Exactly 10 version-locked scenarios. Each is a 5-6-node decision story; it may stay in one channel or hand off only to another allowed simulator.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Modes</w:t>
            </w:r>
          </w:p>
        </w:tc>
        <w:tc>
          <w:tcPr>
            <w:tcW w:type="dxa" w:w="87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Evaluation: explanations withheld until the end. Guided training: explain after each scenario. Mode is fixed when the attempt starts.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Identity</w:t>
            </w:r>
          </w:p>
        </w:tc>
        <w:tc>
          <w:tcPr>
            <w:tcW w:type="dxa" w:w="87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Learner baseline: name + unique service/personal number on a controlled network. Instructor/admin uses a separate authenticated role.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Deferred / excluded</w:t>
            </w:r>
          </w:p>
        </w:tc>
        <w:tc>
          <w:tcPr>
            <w:tcW w:type="dxa" w:w="87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Telegram, QR-only module, normal telephone/vishing module, live email/SMS, external SSO, cloud services, online AI/LLM, camera/microphone, real payments and malware.</w:t>
            </w:r>
          </w:p>
        </w:tc>
      </w:tr>
    </w:tbl>
    <w:p>
      <w:pPr>
        <w:keepLines/>
        <w:spacing w:before="0" w:after="20" w:line="240" w:lineRule="auto"/>
      </w:pPr>
    </w:p>
    <w:p>
      <w:pPr>
        <w:pStyle w:val="Heading1"/>
        <w:keepNext/>
        <w:keepLines/>
      </w:pPr>
      <w:r>
        <w:t>2. End-to-end learner flow</w:t>
      </w:r>
    </w:p>
    <w:p>
      <w:pPr>
        <w:keepLines/>
        <w:spacing w:before="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01968" cy="1234281"/>
            <wp:docPr id="1" name="Picture 1" descr="Seven-step learner flow: sign in, briefing and mode, four-app dashboard, ten branched scenarios, score and coaching, save history, logout and clear session." title="Figure 1. Required learner journey and session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1968" cy="1234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40" w:line="240" w:lineRule="auto"/>
        <w:jc w:val="center"/>
      </w:pPr>
      <w:r>
        <w:rPr>
          <w:rFonts w:ascii="Calibri" w:hAnsi="Calibri" w:eastAsia="Calibri"/>
          <w:b w:val="0"/>
          <w:i/>
          <w:color w:val="5D6B78"/>
          <w:sz w:val="13"/>
        </w:rPr>
        <w:t>Figure 1. Required learner journey and session boundary.</w:t>
      </w:r>
    </w:p>
    <w:p>
      <w:pPr>
        <w:pStyle w:val="Heading1"/>
        <w:keepNext/>
        <w:keepLines/>
      </w:pPr>
      <w:r>
        <w:t>3. Screens, roles and visible behavior</w:t>
      </w:r>
    </w:p>
    <w:tbl>
      <w:tblPr>
        <w:tblW w:type="dxa" w:w="1051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181"/>
        <w:gridCol w:w="1944"/>
        <w:gridCol w:w="7387"/>
      </w:tblGrid>
      <w:tr>
        <w:trPr>
          <w:tblHeader w:val="true"/>
        </w:trPr>
        <w:tc>
          <w:tcPr>
            <w:tcW w:type="dxa" w:w="118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Surface</w:t>
            </w:r>
          </w:p>
        </w:tc>
        <w:tc>
          <w:tcPr>
            <w:tcW w:type="dxa" w:w="738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Must do</w:t>
            </w:r>
          </w:p>
        </w:tc>
      </w:tr>
      <w:tr>
        <w:tc>
          <w:tcPr>
            <w:tcW w:type="dxa" w:w="118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Learner</w:t>
            </w:r>
          </w:p>
        </w:tc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Login / briefing</w:t>
            </w:r>
          </w:p>
        </w:tc>
        <w:tc>
          <w:tcPr>
            <w:tcW w:type="dxa" w:w="738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Validate unique number; display simulation consent, rules and mode. Never reveal which queued messages are malicious.</w:t>
            </w:r>
          </w:p>
        </w:tc>
      </w:tr>
      <w:tr>
        <w:tc>
          <w:tcPr>
            <w:tcW w:type="dxa" w:w="118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Learner</w:t>
            </w:r>
          </w:p>
        </w:tc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Four-app dashboard</w:t>
            </w:r>
          </w:p>
        </w:tc>
        <w:tc>
          <w:tcPr>
            <w:tcW w:type="dxa" w:w="738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Unread badges, attempt progress, current score hidden in evaluation mode, resume state and completed-scenario indicators.</w:t>
            </w:r>
          </w:p>
        </w:tc>
      </w:tr>
      <w:tr>
        <w:tc>
          <w:tcPr>
            <w:tcW w:type="dxa" w:w="118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Learner</w:t>
            </w:r>
          </w:p>
        </w:tc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Simulators</w:t>
            </w:r>
          </w:p>
        </w:tc>
        <w:tc>
          <w:tcPr>
            <w:tcW w:type="dxa" w:w="738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Familiar generic layout; inspect sender/profile/domain/context; reply, click internal link, ignore, report, block, delete or verify via a known channel.</w:t>
            </w:r>
          </w:p>
        </w:tc>
      </w:tr>
      <w:tr>
        <w:tc>
          <w:tcPr>
            <w:tcW w:type="dxa" w:w="118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Learner</w:t>
            </w:r>
          </w:p>
        </w:tc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Result / history</w:t>
            </w:r>
          </w:p>
        </w:tc>
        <w:tc>
          <w:tcPr>
            <w:tcW w:type="dxa" w:w="738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Score, scenario explanations, platform and trigger breakdown, false-positive caution, safer action, and comparison with prior attempts.</w:t>
            </w:r>
          </w:p>
        </w:tc>
      </w:tr>
      <w:tr>
        <w:tc>
          <w:tcPr>
            <w:tcW w:type="dxa" w:w="118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Instructor</w:t>
            </w:r>
          </w:p>
        </w:tc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Local admin console</w:t>
            </w:r>
          </w:p>
        </w:tc>
        <w:tc>
          <w:tcPr>
            <w:tcW w:type="dxa" w:w="7387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Users/units, scenario draft-preview-publish-retire, assignments, attempts, reset/void, reports, exports, backup/restore and audit log.</w:t>
            </w:r>
          </w:p>
        </w:tc>
      </w:tr>
    </w:tbl>
    <w:p>
      <w:pPr>
        <w:keepLines/>
        <w:spacing w:before="0" w:after="20" w:line="240" w:lineRule="auto"/>
      </w:pPr>
    </w:p>
    <w:p>
      <w:pPr>
        <w:keepLines/>
        <w:spacing w:before="0" w:after="0" w:line="240" w:lineRule="auto"/>
      </w:pPr>
      <w:r>
        <w:rPr>
          <w:rFonts w:ascii="Calibri" w:hAnsi="Calibri" w:eastAsia="Calibri"/>
          <w:b w:val="0"/>
          <w:i/>
          <w:color w:val="5D6B78"/>
          <w:sz w:val="12"/>
        </w:rPr>
        <w:t>Reconciliation: retain the safe randomized engine and four-interface telemetry/scorecard; replace the linear module order with a balanced ten-scenario attempt. The .crdownload is a duplicate MHTML snapshot of the PDS.</w:t>
      </w:r>
    </w:p>
    <w:p>
      <w:r>
        <w:br w:type="page"/>
      </w:r>
    </w:p>
    <w:p>
      <w:pPr>
        <w:keepNext/>
        <w:keepLines/>
        <w:spacing w:before="0" w:after="40" w:line="240" w:lineRule="auto"/>
        <w:shd w:fill="0B2545" w:val="clear"/>
        <w:ind w:left="120" w:right="120"/>
      </w:pPr>
      <w:r>
        <w:rPr>
          <w:rFonts w:ascii="Calibri" w:hAnsi="Calibri" w:eastAsia="Calibri"/>
          <w:b/>
          <w:color w:val="FFFFFF"/>
          <w:sz w:val="26"/>
        </w:rPr>
        <w:t>2  |  Offline architecture &amp; runtime behavior</w:t>
      </w:r>
    </w:p>
    <w:p>
      <w:pPr>
        <w:keepNext/>
        <w:keepLines/>
        <w:spacing w:before="0" w:after="60" w:line="240" w:lineRule="auto"/>
      </w:pPr>
      <w:r>
        <w:rPr>
          <w:rFonts w:ascii="Calibri" w:hAnsi="Calibri" w:eastAsia="Calibri"/>
          <w:b w:val="0"/>
          <w:i w:val="0"/>
          <w:color w:val="5D6B78"/>
          <w:sz w:val="15"/>
        </w:rPr>
        <w:t>Local-first, reproducible and deployable on one PC or multiple PCs inside a closed network.</w:t>
      </w:r>
    </w:p>
    <w:p>
      <w:pPr>
        <w:keepLines/>
        <w:spacing w:before="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11112" cy="2184541"/>
            <wp:docPr id="2" name="Picture 2" descr="Closed network architecture: learner and instructor browsers connect to a local application server, which owns the UI, APIs, engine, scoring and reporting, and writes to a local relational database and versioned content store. No internet traffic." title="Figure 2. Logical architecture and the two supported deployment mo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1112" cy="2184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40" w:line="240" w:lineRule="auto"/>
        <w:jc w:val="center"/>
      </w:pPr>
      <w:r>
        <w:rPr>
          <w:rFonts w:ascii="Calibri" w:hAnsi="Calibri" w:eastAsia="Calibri"/>
          <w:b w:val="0"/>
          <w:i/>
          <w:color w:val="5D6B78"/>
          <w:sz w:val="13"/>
        </w:rPr>
        <w:t>Figure 2. Logical architecture and the two supported deployment modes.</w:t>
      </w:r>
    </w:p>
    <w:p>
      <w:pPr>
        <w:pStyle w:val="Heading1"/>
        <w:keepNext/>
        <w:keepLines/>
      </w:pPr>
      <w:r>
        <w:t>4. Component responsibilities and interfaces</w:t>
      </w:r>
    </w:p>
    <w:tbl>
      <w:tblPr>
        <w:tblW w:type="dxa" w:w="1051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800"/>
        <w:gridCol w:w="4680"/>
        <w:gridCol w:w="4032"/>
      </w:tblGrid>
      <w:tr>
        <w:trPr>
          <w:tblHeader w:val="true"/>
        </w:trP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46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Responsibility</w:t>
            </w:r>
          </w:p>
        </w:tc>
        <w:tc>
          <w:tcPr>
            <w:tcW w:type="dxa" w:w="40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Invariant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Local web client</w:t>
            </w:r>
          </w:p>
        </w:tc>
        <w:tc>
          <w:tcPr>
            <w:tcW w:type="dxa" w:w="46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Renders dashboard and four simulators; keyboard-accessible interactions; holds only transient view state.</w:t>
            </w:r>
          </w:p>
        </w:tc>
        <w:tc>
          <w:tcPr>
            <w:tcW w:type="dxa" w:w="40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No CDN, remote font, analytics, ad, map, avatar or external URL.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Auth/session</w:t>
            </w:r>
          </w:p>
        </w:tc>
        <w:tc>
          <w:tcPr>
            <w:tcW w:type="dxa" w:w="46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Learner lookup/create; admin role check; inactivity timeout; explicit logout; kiosk/session cleanup.</w:t>
            </w:r>
          </w:p>
        </w:tc>
        <w:tc>
          <w:tcPr>
            <w:tcW w:type="dxa" w:w="40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Server-side session ID; no score or role trusted from client storage.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Attempt planner</w:t>
            </w:r>
          </w:p>
        </w:tc>
        <w:tc>
          <w:tcPr>
            <w:tcW w:type="dxa" w:w="46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Selects 10 scenario versions using constraints and a stored random seed; supports replay/audit.</w:t>
            </w:r>
          </w:p>
        </w:tc>
        <w:tc>
          <w:tcPr>
            <w:tcW w:type="dxa" w:w="40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Selection is atomic and immutable after first scenario starts.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Scenario engine</w:t>
            </w:r>
          </w:p>
        </w:tc>
        <w:tc>
          <w:tcPr>
            <w:tcW w:type="dxa" w:w="46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Loads current node, validates permitted action, applies branch, emits next node and safe consequence.</w:t>
            </w:r>
          </w:p>
        </w:tc>
        <w:tc>
          <w:tcPr>
            <w:tcW w:type="dxa" w:w="40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Server is authoritative; client cannot submit arbitrary next_node or points.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Event + scoring</w:t>
            </w:r>
          </w:p>
        </w:tc>
        <w:tc>
          <w:tcPr>
            <w:tcW w:type="dxa" w:w="46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Records purposeful interactions and calculates rules-based stage/scenario/attempt scores.</w:t>
            </w:r>
          </w:p>
        </w:tc>
        <w:tc>
          <w:tcPr>
            <w:tcW w:type="dxa" w:w="40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Deliberate events only; never raw mouse trails, clipboard, unrelated keys or actual secrets. Idempotency prevents duplicate scoring.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Feedback/reporting</w:t>
            </w:r>
          </w:p>
        </w:tc>
        <w:tc>
          <w:tcPr>
            <w:tcW w:type="dxa" w:w="46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Produces learner coaching, history comparison and local instructor reports/CSV/PDF export.</w:t>
            </w:r>
          </w:p>
        </w:tc>
        <w:tc>
          <w:tcPr>
            <w:tcW w:type="dxa" w:w="40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Derived from stored scenario version + responses; export contains a sensitivity marking.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Content/admin</w:t>
            </w:r>
          </w:p>
        </w:tc>
        <w:tc>
          <w:tcPr>
            <w:tcW w:type="dxa" w:w="46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Draft, validate, preview, publish immutable version, clone and retire scenarios; manage units/users.</w:t>
            </w:r>
          </w:p>
        </w:tc>
        <w:tc>
          <w:tcPr>
            <w:tcW w:type="dxa" w:w="40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Published content used by an attempt is never edited or hard-deleted.</w:t>
            </w:r>
          </w:p>
        </w:tc>
      </w:tr>
    </w:tbl>
    <w:p>
      <w:pPr>
        <w:keepLines/>
        <w:spacing w:before="0" w:after="20" w:line="240" w:lineRule="auto"/>
      </w:pPr>
    </w:p>
    <w:p>
      <w:pPr>
        <w:pStyle w:val="Heading1"/>
        <w:keepNext/>
        <w:keepLines/>
      </w:pPr>
      <w:r>
        <w:t>5. Deployment and operational model</w:t>
      </w:r>
    </w:p>
    <w:p>
      <w:pPr>
        <w:keepLines/>
        <w:numPr>
          <w:ilvl w:val="0"/>
          <w:numId w:val="42"/>
        </w:numPr>
        <w:spacing w:before="0" w:after="20" w:line="240" w:lineRule="auto"/>
      </w:pPr>
      <w:r>
        <w:rPr>
          <w:rFonts w:ascii="Calibri" w:hAnsi="Calibri" w:eastAsia="Calibri"/>
          <w:color w:val="172B3A"/>
          <w:sz w:val="16"/>
        </w:rPr>
        <w:t>Baseline: one local server on a closed/offline LAN; learner PCs use a supported browser at a local address. The same package runs on localhost for a standalone PC. Use a database adapter: embedded relational DB for standalone; multi-user relational DB for LAN.</w:t>
      </w:r>
    </w:p>
    <w:p>
      <w:pPr>
        <w:keepLines/>
        <w:numPr>
          <w:ilvl w:val="0"/>
          <w:numId w:val="42"/>
        </w:numPr>
        <w:spacing w:before="0" w:after="20" w:line="240" w:lineRule="auto"/>
      </w:pPr>
      <w:r>
        <w:rPr>
          <w:rFonts w:ascii="Calibri" w:hAnsi="Calibri" w:eastAsia="Calibri"/>
          <w:color w:val="172B3A"/>
          <w:sz w:val="16"/>
        </w:rPr>
        <w:t>Ship an offline installer/bundle containing runtime, UI assets, fonts, database migrations, starter content, license notices and a health-check utility. Installation, normal use, reporting and backup must succeed with the internet physically disconnected.</w:t>
      </w:r>
    </w:p>
    <w:p>
      <w:pPr>
        <w:keepLines/>
        <w:numPr>
          <w:ilvl w:val="0"/>
          <w:numId w:val="42"/>
        </w:numPr>
        <w:spacing w:before="0" w:after="20" w:line="240" w:lineRule="auto"/>
      </w:pPr>
      <w:r>
        <w:rPr>
          <w:rFonts w:ascii="Calibri" w:hAnsi="Calibri" w:eastAsia="Calibri"/>
          <w:color w:val="172B3A"/>
          <w:sz w:val="16"/>
        </w:rPr>
        <w:t>Bind only to the configured local interface; firewall to the training subnet; use local TLS where certificates can be administered. Deny outbound DNS/HTTP at host and application layers. Content Security Policy should restrict scripts, media, forms and connections to self/local approved origins.</w:t>
      </w:r>
    </w:p>
    <w:p>
      <w:pPr>
        <w:keepLines/>
        <w:numPr>
          <w:ilvl w:val="0"/>
          <w:numId w:val="42"/>
        </w:numPr>
        <w:spacing w:before="0" w:after="20" w:line="240" w:lineRule="auto"/>
      </w:pPr>
      <w:r>
        <w:rPr>
          <w:rFonts w:ascii="Calibri" w:hAnsi="Calibri" w:eastAsia="Calibri"/>
          <w:color w:val="172B3A"/>
          <w:sz w:val="16"/>
        </w:rPr>
        <w:t>Atomic persistence after every learner action enables crash recovery. On restart, resume the latest in-progress attempt at its last committed node; never silently generate a replacement sequence or recalculate against a newer scenario version.</w:t>
      </w:r>
    </w:p>
    <w:p>
      <w:pPr>
        <w:keepLines/>
        <w:numPr>
          <w:ilvl w:val="0"/>
          <w:numId w:val="42"/>
        </w:numPr>
        <w:spacing w:before="0" w:after="20" w:line="240" w:lineRule="auto"/>
      </w:pPr>
      <w:r>
        <w:rPr>
          <w:rFonts w:ascii="Calibri" w:hAnsi="Calibri" w:eastAsia="Calibri"/>
          <w:color w:val="172B3A"/>
          <w:sz w:val="16"/>
        </w:rPr>
        <w:t>Concurrency target for initial acceptance: 25 simultaneous learners on agreed reference hardware, with screen transitions under 500 ms at the 95th percentile and no cross-session data leakage. Make this target configurable for larger unit deployments.</w:t>
      </w:r>
    </w:p>
    <w:p>
      <w:pPr>
        <w:pStyle w:val="Heading1"/>
        <w:keepNext/>
        <w:keepLines/>
      </w:pPr>
      <w:r>
        <w:t>6. Runtime request flow</w:t>
      </w:r>
    </w:p>
    <w:tbl>
      <w:tblPr>
        <w:tblW w:type="dxa" w:w="1051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691"/>
        <w:gridCol w:w="1512"/>
        <w:gridCol w:w="8309"/>
      </w:tblGrid>
      <w:tr>
        <w:trPr>
          <w:tblHeader w:val="true"/>
        </w:trPr>
        <w:tc>
          <w:tcPr>
            <w:tcW w:type="dxa" w:w="69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15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830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Required behavior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A</w:t>
            </w:r>
          </w:p>
        </w:tc>
        <w:tc>
          <w:tcPr>
            <w:tcW w:type="dxa" w:w="15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Sign in</w:t>
            </w:r>
          </w:p>
        </w:tc>
        <w:tc>
          <w:tcPr>
            <w:tcW w:type="dxa" w:w="830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POST learner identity → normalize service number → find/create permitted profile → create server session.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B</w:t>
            </w:r>
          </w:p>
        </w:tc>
        <w:tc>
          <w:tcPr>
            <w:tcW w:type="dxa" w:w="15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Start</w:t>
            </w:r>
          </w:p>
        </w:tc>
        <w:tc>
          <w:tcPr>
            <w:tcW w:type="dxa" w:w="830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Choose mode/assignment → planner persists attempt, seed and ordered scenario-version list → return dashboard.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C</w:t>
            </w:r>
          </w:p>
        </w:tc>
        <w:tc>
          <w:tcPr>
            <w:tcW w:type="dxa" w:w="15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Interact</w:t>
            </w:r>
          </w:p>
        </w:tc>
        <w:tc>
          <w:tcPr>
            <w:tcW w:type="dxa" w:w="830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Client requests node → renders only approved synthetic payload → posts action/event with idempotency key.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D</w:t>
            </w:r>
          </w:p>
        </w:tc>
        <w:tc>
          <w:tcPr>
            <w:tcW w:type="dxa" w:w="15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Decide</w:t>
            </w:r>
          </w:p>
        </w:tc>
        <w:tc>
          <w:tcPr>
            <w:tcW w:type="dxa" w:w="830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Server validates current node/action → stores response and deliberate telemetry → applies branch + points → returns next node.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E</w:t>
            </w:r>
          </w:p>
        </w:tc>
        <w:tc>
          <w:tcPr>
            <w:tcW w:type="dxa" w:w="15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Finish</w:t>
            </w:r>
          </w:p>
        </w:tc>
        <w:tc>
          <w:tcPr>
            <w:tcW w:type="dxa" w:w="830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After scenario 10, freeze total → generate feedback snapshot → update history → offer local print/export.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F</w:t>
            </w:r>
          </w:p>
        </w:tc>
        <w:tc>
          <w:tcPr>
            <w:tcW w:type="dxa" w:w="151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Logout</w:t>
            </w:r>
          </w:p>
        </w:tc>
        <w:tc>
          <w:tcPr>
            <w:tcW w:type="dxa" w:w="830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Invalidate session; clear client state, cached rationale and simulated form fields; return to neutral login screen.</w:t>
            </w:r>
          </w:p>
        </w:tc>
      </w:tr>
    </w:tbl>
    <w:p>
      <w:pPr>
        <w:keepLines/>
        <w:spacing w:before="0" w:after="20" w:line="240" w:lineRule="auto"/>
      </w:pPr>
    </w:p>
    <w:p>
      <w:r>
        <w:br w:type="page"/>
      </w:r>
    </w:p>
    <w:p>
      <w:pPr>
        <w:keepNext/>
        <w:keepLines/>
        <w:spacing w:before="0" w:after="40" w:line="240" w:lineRule="auto"/>
        <w:shd w:fill="0B2545" w:val="clear"/>
        <w:ind w:left="120" w:right="120"/>
      </w:pPr>
      <w:r>
        <w:rPr>
          <w:rFonts w:ascii="Calibri" w:hAnsi="Calibri" w:eastAsia="Calibri"/>
          <w:b/>
          <w:color w:val="FFFFFF"/>
          <w:sz w:val="26"/>
        </w:rPr>
        <w:t>3  |  Scenario engine, content model &amp; scoring</w:t>
      </w:r>
    </w:p>
    <w:p>
      <w:pPr>
        <w:keepNext/>
        <w:keepLines/>
        <w:spacing w:before="0" w:after="60" w:line="240" w:lineRule="auto"/>
      </w:pPr>
      <w:r>
        <w:rPr>
          <w:rFonts w:ascii="Calibri" w:hAnsi="Calibri" w:eastAsia="Calibri"/>
          <w:b w:val="0"/>
          <w:i w:val="0"/>
          <w:color w:val="5D6B78"/>
          <w:sz w:val="15"/>
        </w:rPr>
        <w:t>Unpredictable presentation with reproducible selection, safe branching and explainable negative marking.</w:t>
      </w:r>
    </w:p>
    <w:p>
      <w:pPr>
        <w:pStyle w:val="Heading1"/>
        <w:keepNext/>
        <w:keepLines/>
      </w:pPr>
      <w:r>
        <w:t>7. Attempt composition and randomization</w:t>
      </w:r>
    </w:p>
    <w:tbl>
      <w:tblPr>
        <w:tblW w:type="dxa" w:w="1051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613"/>
        <w:gridCol w:w="8899"/>
      </w:tblGrid>
      <w:tr>
        <w:trPr>
          <w:tblHeader w:val="true"/>
        </w:trPr>
        <w:tc>
          <w:tcPr>
            <w:tcW w:type="dxa" w:w="161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889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161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Count</w:t>
            </w:r>
          </w:p>
        </w:tc>
        <w:tc>
          <w:tcPr>
            <w:tcW w:type="dxa" w:w="889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10 scenarios; each maximum +10 and minimum -8; every scenario has 5-6 interactive nodes.</w:t>
            </w:r>
          </w:p>
        </w:tc>
      </w:tr>
      <w:tr>
        <w:tc>
          <w:tcPr>
            <w:tcW w:type="dxa" w:w="161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Platforms</w:t>
            </w:r>
          </w:p>
        </w:tc>
        <w:tc>
          <w:tcPr>
            <w:tcW w:type="dxa" w:w="889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Each of four platforms appears 2-3 times; no same platform more than twice consecutively.</w:t>
            </w:r>
          </w:p>
        </w:tc>
      </w:tr>
      <w:tr>
        <w:tc>
          <w:tcPr>
            <w:tcW w:type="dxa" w:w="161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Difficulty</w:t>
            </w:r>
          </w:p>
        </w:tc>
        <w:tc>
          <w:tcPr>
            <w:tcW w:type="dxa" w:w="889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2 Easy + 5 Medium + 3 Hard; difficulty changes ambiguity/branching, not maximum points.</w:t>
            </w:r>
          </w:p>
        </w:tc>
      </w:tr>
      <w:tr>
        <w:tc>
          <w:tcPr>
            <w:tcW w:type="dxa" w:w="161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Legitimacy</w:t>
            </w:r>
          </w:p>
        </w:tc>
        <w:tc>
          <w:tcPr>
            <w:tcW w:type="dxa" w:w="889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7 malicious + 3 believable legitimate scenarios; legitimate items are required to measure excessive suspicion.</w:t>
            </w:r>
          </w:p>
        </w:tc>
      </w:tr>
      <w:tr>
        <w:tc>
          <w:tcPr>
            <w:tcW w:type="dxa" w:w="161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Diversity</w:t>
            </w:r>
          </w:p>
        </w:tc>
        <w:tc>
          <w:tcPr>
            <w:tcW w:type="dxa" w:w="889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At least four attack families and four manipulation triggers; avoid the learner's last-attempt items when the pool permits.</w:t>
            </w:r>
          </w:p>
        </w:tc>
      </w:tr>
      <w:tr>
        <w:tc>
          <w:tcPr>
            <w:tcW w:type="dxa" w:w="161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Library floor</w:t>
            </w:r>
          </w:p>
        </w:tc>
        <w:tc>
          <w:tcPr>
            <w:tcW w:type="dxa" w:w="889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Launch with at least 60 validated scenarios: ≥15/platform, ≥4 legitimate/platform, all difficulty levels represented.</w:t>
            </w:r>
          </w:p>
        </w:tc>
      </w:tr>
    </w:tbl>
    <w:p>
      <w:pPr>
        <w:keepLines/>
        <w:spacing w:before="0" w:after="20" w:line="240" w:lineRule="auto"/>
      </w:pPr>
    </w:p>
    <w:p>
      <w:pPr>
        <w:keepLines/>
        <w:spacing w:before="0" w:after="40" w:line="240" w:lineRule="auto"/>
      </w:pPr>
      <w:r>
        <w:rPr>
          <w:rFonts w:ascii="Calibri" w:hAnsi="Calibri" w:eastAsia="Calibri"/>
          <w:b/>
          <w:i w:val="0"/>
          <w:color w:val="0B2545"/>
          <w:sz w:val="16"/>
        </w:rPr>
        <w:t xml:space="preserve">Selection algorithm. </w:t>
      </w:r>
      <w:r>
        <w:rPr>
          <w:rFonts w:ascii="Calibri" w:hAnsi="Calibri" w:eastAsia="Calibri"/>
          <w:b w:val="0"/>
          <w:i w:val="0"/>
          <w:color w:val="172B3A"/>
          <w:sz w:val="16"/>
        </w:rPr>
        <w:t>Filter active compatible versions, then run seeded weighted backtracking until all constraints pass. Weight under-exposed platforms, attack families, triggers and unseen scenarios. Persist the seed and ordered version IDs before play. If the library cannot satisfy the contract, stop with an instructor-facing insufficiency report; never weaken constraints silently.</w:t>
      </w:r>
    </w:p>
    <w:p>
      <w:pPr>
        <w:pStyle w:val="Heading1"/>
        <w:keepNext/>
        <w:keepLines/>
      </w:pPr>
      <w:r>
        <w:t>8. Scenario state machine</w:t>
      </w:r>
    </w:p>
    <w:p>
      <w:pPr>
        <w:keepLines/>
        <w:spacing w:before="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1808921"/>
            <wp:docPr id="3" name="Picture 3" descr="Scenario flow: notification, inspection, action, consequence, explanation, atomic commit. Actions branch to approved next nodes. The attempt planner locks ten versioned scenarios and the random seed before play." title="Figure 3. Authoritative 5-6-stage scenario state mach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8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40" w:line="240" w:lineRule="auto"/>
        <w:jc w:val="center"/>
      </w:pPr>
      <w:r>
        <w:rPr>
          <w:rFonts w:ascii="Calibri" w:hAnsi="Calibri" w:eastAsia="Calibri"/>
          <w:b w:val="0"/>
          <w:i/>
          <w:color w:val="5D6B78"/>
          <w:sz w:val="13"/>
        </w:rPr>
        <w:t>Figure 3. Authoritative 5-6-stage scenario state machine.</w:t>
      </w:r>
    </w:p>
    <w:p>
      <w:pPr>
        <w:keepLines/>
        <w:spacing w:before="0" w:after="40" w:line="240" w:lineRule="auto"/>
      </w:pPr>
      <w:r>
        <w:rPr>
          <w:rFonts w:ascii="Calibri" w:hAnsi="Calibri" w:eastAsia="Calibri"/>
          <w:b/>
          <w:i w:val="0"/>
          <w:color w:val="0B2545"/>
          <w:sz w:val="16"/>
        </w:rPr>
        <w:t xml:space="preserve">Node types: </w:t>
      </w:r>
      <w:r>
        <w:rPr>
          <w:rFonts w:ascii="Calibri" w:hAnsi="Calibri" w:eastAsia="Calibri"/>
          <w:b w:val="0"/>
          <w:i w:val="0"/>
          <w:color w:val="172B3A"/>
          <w:sz w:val="16"/>
        </w:rPr>
        <w:t xml:space="preserve">notification, inbox/feed/chat, inspection reveal, action prompt, internal landing/consequence, reply composer, verification prompt, rationale and terminal feedback. </w:t>
      </w:r>
      <w:r>
        <w:rPr>
          <w:rFonts w:ascii="Calibri" w:hAnsi="Calibri" w:eastAsia="Calibri"/>
          <w:b/>
          <w:i w:val="0"/>
          <w:color w:val="0B2545"/>
          <w:sz w:val="16"/>
        </w:rPr>
        <w:t xml:space="preserve">Choice record: </w:t>
      </w:r>
      <w:r>
        <w:rPr>
          <w:rFonts w:ascii="Calibri" w:hAnsi="Calibri" w:eastAsia="Calibri"/>
          <w:b w:val="0"/>
          <w:i w:val="0"/>
          <w:color w:val="172B3A"/>
          <w:sz w:val="16"/>
        </w:rPr>
        <w:t>action_code, allowed current node, next_node_id, point rule, severity flag, feedback key and expected evidence tags. Any typed response is HTML-escaped; only the rationale is retained.</w:t>
      </w:r>
    </w:p>
    <w:p>
      <w:pPr>
        <w:pStyle w:val="Heading1"/>
        <w:keepNext/>
        <w:keepLines/>
      </w:pPr>
      <w:r>
        <w:t>9. Scenario taxonomy and authoring coverage</w:t>
      </w:r>
    </w:p>
    <w:tbl>
      <w:tblPr>
        <w:tblW w:type="dxa" w:w="1051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469"/>
        <w:gridCol w:w="9043"/>
      </w:tblGrid>
      <w:tr>
        <w:trPr>
          <w:tblHeader w:val="true"/>
        </w:trPr>
        <w:tc>
          <w:tcPr>
            <w:tcW w:type="dxa" w:w="146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Platform</w:t>
            </w:r>
          </w:p>
        </w:tc>
        <w:tc>
          <w:tcPr>
            <w:tcW w:type="dxa" w:w="904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Required families and legitimate controls</w:t>
            </w:r>
          </w:p>
        </w:tc>
      </w:tr>
      <w:tr>
        <w:tc>
          <w:tcPr>
            <w:tcW w:type="dxa" w:w="146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Email</w:t>
            </w:r>
          </w:p>
        </w:tc>
        <w:tc>
          <w:tcPr>
            <w:tcW w:type="dxa" w:w="904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Credential/reset or policy lure; executive/vendor payment change; invoice/attachment; HR/recruitment; data request; safe calendar/newsletter/receipt.</w:t>
            </w:r>
          </w:p>
        </w:tc>
      </w:tr>
      <w:tr>
        <w:tc>
          <w:tcPr>
            <w:tcW w:type="dxa" w:w="146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SMS</w:t>
            </w:r>
          </w:p>
        </w:tc>
        <w:tc>
          <w:tcPr>
            <w:tcW w:type="dxa" w:w="904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KYC/account freeze; parcel/customs; e-challan/utility; SIM/OTP; job/reward; callback pressure; safe bank/appointment/delivery notice.</w:t>
            </w:r>
          </w:p>
        </w:tc>
      </w:tr>
      <w:tr>
        <w:tc>
          <w:tcPr>
            <w:tcW w:type="dxa" w:w="146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WhatsApp</w:t>
            </w:r>
          </w:p>
        </w:tc>
        <w:tc>
          <w:tcPr>
            <w:tcW w:type="dxa" w:w="904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OTP misdirection; known-contact takeover; relative in distress; parcel/payment; group/admin impersonation; digital-arrest chat/simulated in-app call; safe team/family chat.</w:t>
            </w:r>
          </w:p>
        </w:tc>
      </w:tr>
      <w:tr>
        <w:tc>
          <w:tcPr>
            <w:tcW w:type="dxa" w:w="146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Instagram</w:t>
            </w:r>
          </w:p>
        </w:tc>
        <w:tc>
          <w:tcPr>
            <w:tcW w:type="dxa" w:w="904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Cloned friend; fake support/copyright appeal; giveaway/influencer; brand collaboration; romance/trust grooming; recovery scam; safe DM/order/update.</w:t>
            </w:r>
          </w:p>
        </w:tc>
      </w:tr>
    </w:tbl>
    <w:p>
      <w:pPr>
        <w:keepLines/>
        <w:spacing w:before="0" w:after="20" w:line="240" w:lineRule="auto"/>
      </w:pPr>
    </w:p>
    <w:p>
      <w:pPr>
        <w:keepLines/>
        <w:spacing w:before="0" w:after="40" w:line="240" w:lineRule="auto"/>
      </w:pPr>
      <w:r>
        <w:rPr>
          <w:rFonts w:ascii="Calibri" w:hAnsi="Calibri" w:eastAsia="Calibri"/>
          <w:b w:val="0"/>
          <w:i w:val="0"/>
          <w:color w:val="172B3A"/>
          <w:sz w:val="15"/>
        </w:rPr>
        <w:t>Every published scenario must also declare: learning objective; attack family; platform; difficulty; legitimate/malicious flag; manipulation trigger (authority, urgency, fear, trust, curiosity/reward, empathy, scarcity/social proof); observable cues; safest action; acceptable alternatives; branch map; score rubric; feedback; synthetic assets; accessibility text; expiry/review date; author, reviewer and immutable version.</w:t>
      </w:r>
    </w:p>
    <w:p>
      <w:pPr>
        <w:pStyle w:val="Heading1"/>
        <w:keepNext/>
        <w:keepLines/>
      </w:pPr>
      <w:r>
        <w:t>10. Explainable scoring and feedback</w:t>
      </w:r>
    </w:p>
    <w:p>
      <w:pPr>
        <w:keepLines/>
        <w:spacing w:before="40" w:after="60" w:line="240" w:lineRule="auto"/>
        <w:shd w:val="clear" w:fill="E8F2F6"/>
        <w:pBdr>
          <w:left w:val="single" w:sz="22" w:space="7" w:color="147D92"/>
        </w:pBdr>
        <w:ind w:left="150" w:right="100"/>
      </w:pPr>
      <w:r>
        <w:rPr>
          <w:rFonts w:ascii="Calibri" w:hAnsi="Calibri" w:eastAsia="Calibri"/>
          <w:b/>
          <w:color w:val="147D92"/>
          <w:sz w:val="15"/>
        </w:rPr>
        <w:t xml:space="preserve">FORMULA  </w:t>
      </w:r>
      <w:r>
        <w:rPr>
          <w:rFonts w:ascii="Calibri" w:hAnsi="Calibri" w:eastAsia="Calibri"/>
          <w:color w:val="172B3A"/>
          <w:sz w:val="16"/>
        </w:rPr>
        <w:t>Per scenario S = Observation O(0..2) + Judgment J(-2..2) + Action A(-4..4) + Rationale R(-2..2); attempt = clamp(round(sum of 10 S), 0, 100). Rationale: +2 specific cues + trusted verification, +1 generic, 0 blank, -2 unsafe logic; use deterministic evidence tags and store the 1-2-line text. Bands: 85-100 Strong, 70-84 Developing, 50-69 Reinforcement, below 50 Immediate coaching.</w:t>
      </w:r>
    </w:p>
    <w:tbl>
      <w:tblPr>
        <w:tblW w:type="dxa" w:w="1051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25"/>
        <w:gridCol w:w="3672"/>
        <w:gridCol w:w="5515"/>
      </w:tblGrid>
      <w:tr>
        <w:trPr>
          <w:tblHeader w:val="true"/>
        </w:trPr>
        <w:tc>
          <w:tcPr>
            <w:tcW w:type="dxa" w:w="132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Part</w:t>
            </w:r>
          </w:p>
        </w:tc>
        <w:tc>
          <w:tcPr>
            <w:tcW w:type="dxa" w:w="367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Points</w:t>
            </w:r>
          </w:p>
        </w:tc>
        <w:tc>
          <w:tcPr>
            <w:tcW w:type="dxa" w:w="551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132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Observation</w:t>
            </w:r>
          </w:p>
        </w:tc>
        <w:tc>
          <w:tcPr>
            <w:tcW w:type="dxa" w:w="367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+2 inspect decisive cues; +1 partial; 0 none</w:t>
            </w:r>
          </w:p>
        </w:tc>
        <w:tc>
          <w:tcPr>
            <w:tcW w:type="dxa" w:w="551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Never reward time delay alone; accessibility or reading speed must not become a penalty.</w:t>
            </w:r>
          </w:p>
        </w:tc>
      </w:tr>
      <w:tr>
        <w:tc>
          <w:tcPr>
            <w:tcW w:type="dxa" w:w="132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Judgment</w:t>
            </w:r>
          </w:p>
        </w:tc>
        <w:tc>
          <w:tcPr>
            <w:tcW w:type="dxa" w:w="367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+2 correct; 0 uncertain; -2 wrong</w:t>
            </w:r>
          </w:p>
        </w:tc>
        <w:tc>
          <w:tcPr>
            <w:tcW w:type="dxa" w:w="551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Calling a verified legitimate item malicious is a false positive and loses marks.</w:t>
            </w:r>
          </w:p>
        </w:tc>
      </w:tr>
      <w:tr>
        <w:tc>
          <w:tcPr>
            <w:tcW w:type="dxa" w:w="132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Action</w:t>
            </w:r>
          </w:p>
        </w:tc>
        <w:tc>
          <w:tcPr>
            <w:tcW w:type="dxa" w:w="367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+4 safest; +2 safe/incomplete; 0 neutral; -2 over-cautious; -4 risky</w:t>
            </w:r>
          </w:p>
        </w:tc>
        <w:tc>
          <w:tcPr>
            <w:tcW w:type="dxa" w:w="551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OTP/credential/payment/data disclosure is critical. Reporting/blocking a legitimate item without evidence is over-cautious.</w:t>
            </w:r>
          </w:p>
        </w:tc>
      </w:tr>
    </w:tbl>
    <w:p>
      <w:pPr>
        <w:keepLines/>
        <w:spacing w:before="0" w:after="20" w:line="240" w:lineRule="auto"/>
      </w:pPr>
    </w:p>
    <w:p>
      <w:pPr>
        <w:keepLines/>
        <w:spacing w:before="0" w:after="0" w:line="240" w:lineRule="auto"/>
      </w:pPr>
      <w:r>
        <w:rPr>
          <w:rFonts w:ascii="Calibri" w:hAnsi="Calibri" w:eastAsia="Calibri"/>
          <w:b w:val="0"/>
          <w:i w:val="0"/>
          <w:color w:val="172B3A"/>
          <w:sz w:val="13"/>
        </w:rPr>
        <w:t>Feedback: cues, safer action, impact, platform accuracy, false-positive rate and attack/trigger trend. The trigger profile is non-clinical; never use it for diagnosis or personnel suitability.</w:t>
      </w:r>
    </w:p>
    <w:p>
      <w:r>
        <w:br w:type="page"/>
      </w:r>
    </w:p>
    <w:p>
      <w:pPr>
        <w:keepNext/>
        <w:keepLines/>
        <w:spacing w:before="0" w:after="40" w:line="240" w:lineRule="auto"/>
        <w:shd w:fill="0B2545" w:val="clear"/>
        <w:ind w:left="120" w:right="120"/>
      </w:pPr>
      <w:r>
        <w:rPr>
          <w:rFonts w:ascii="Calibri" w:hAnsi="Calibri" w:eastAsia="Calibri"/>
          <w:b/>
          <w:color w:val="FFFFFF"/>
          <w:sz w:val="26"/>
        </w:rPr>
        <w:t>4  |  Data model, safety boundaries &amp; acceptance</w:t>
      </w:r>
    </w:p>
    <w:p>
      <w:pPr>
        <w:keepNext/>
        <w:keepLines/>
        <w:spacing w:before="0" w:after="60" w:line="240" w:lineRule="auto"/>
      </w:pPr>
      <w:r>
        <w:rPr>
          <w:rFonts w:ascii="Calibri" w:hAnsi="Calibri" w:eastAsia="Calibri"/>
          <w:b w:val="0"/>
          <w:i w:val="0"/>
          <w:color w:val="5D6B78"/>
          <w:sz w:val="15"/>
        </w:rPr>
        <w:t>Minimum entities, controls and testable conditions for delivery hand-off.</w:t>
      </w:r>
    </w:p>
    <w:p>
      <w:pPr>
        <w:pStyle w:val="Heading1"/>
        <w:keepNext/>
        <w:keepLines/>
      </w:pPr>
      <w:r>
        <w:t>11. Relational data model and retention</w:t>
      </w:r>
    </w:p>
    <w:p>
      <w:pPr>
        <w:keepLines/>
        <w:spacing w:before="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01968" cy="1951886"/>
            <wp:docPr id="4" name="Picture 4" descr="Data model: unit has learners; learner has attempts; attempt has ordered attempt scenarios; scenarios have immutable versions, nodes and choices; events and responses belong to an attempt scenario and node." title="Figure 4. Minimum relational entities and cardinality dir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1968" cy="195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40" w:line="240" w:lineRule="auto"/>
        <w:jc w:val="center"/>
      </w:pPr>
      <w:r>
        <w:rPr>
          <w:rFonts w:ascii="Calibri" w:hAnsi="Calibri" w:eastAsia="Calibri"/>
          <w:b w:val="0"/>
          <w:i/>
          <w:color w:val="5D6B78"/>
          <w:sz w:val="13"/>
        </w:rPr>
        <w:t>Figure 4. Minimum relational entities and cardinality direction.</w:t>
      </w:r>
    </w:p>
    <w:p>
      <w:pPr>
        <w:keepLines/>
        <w:spacing w:before="0" w:after="40" w:line="240" w:lineRule="auto"/>
      </w:pPr>
      <w:r>
        <w:rPr>
          <w:rFonts w:ascii="Calibri" w:hAnsi="Calibri" w:eastAsia="Calibri"/>
          <w:b w:val="0"/>
          <w:i w:val="0"/>
          <w:color w:val="172B3A"/>
          <w:sz w:val="15"/>
        </w:rPr>
        <w:t>Additional entities: AdminAccount/Role, Assignment, FeedbackSnapshot, ExportJob, BackupRecord and AdminAudit. Enforce unique service_no; foreign keys; UTC timestamps plus deployment timezone; attempt status state machine (created/in_progress/completed/void); and indexes on learner, unit, attempt date, platform and scenario version. Store timestamps and safe categorical metadata in Event; store selected action, sanitized rationale and awarded points in Response. Derive dashboards from these records rather than duplicating totals without reconciliation.</w:t>
      </w:r>
    </w:p>
    <w:p>
      <w:pPr>
        <w:pStyle w:val="Heading1"/>
        <w:keepNext/>
        <w:keepLines/>
      </w:pPr>
      <w:r>
        <w:t>12. Safety, security and privacy boundaries</w:t>
      </w:r>
    </w:p>
    <w:tbl>
      <w:tblPr>
        <w:tblW w:type="dxa" w:w="1051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944"/>
        <w:gridCol w:w="8568"/>
      </w:tblGrid>
      <w:tr>
        <w:trPr>
          <w:tblHeader w:val="true"/>
        </w:trPr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Boundary</w:t>
            </w:r>
          </w:p>
        </w:tc>
        <w:tc>
          <w:tcPr>
            <w:tcW w:type="dxa" w:w="856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Non-negotiable requirement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Synthetic-only content</w:t>
            </w:r>
          </w:p>
        </w:tc>
        <w:tc>
          <w:tcPr>
            <w:tcW w:type="dxa" w:w="856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Fictional people/units, reserved example domains, non-working phone numbers, locally generated codes and internal links. No real credential, OTP, bank or identity data is requested.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Contained interaction</w:t>
            </w:r>
          </w:p>
        </w:tc>
        <w:tc>
          <w:tcPr>
            <w:tcW w:type="dxa" w:w="856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Every link, attachment, call and payment page resolves inside the application. No email/SMS/WhatsApp/Instagram API, browser navigation to the public web, camera, microphone or device access.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Brand/training clarity</w:t>
            </w:r>
          </w:p>
        </w:tc>
        <w:tc>
          <w:tcPr>
            <w:tcW w:type="dxa" w:w="856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Use recognizable interaction patterns but generic names, icons and styling; avoid copying logos/trade dress. Keep a persistent TRAINING SIMULATION marker and briefing/consent.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Input protection</w:t>
            </w:r>
          </w:p>
        </w:tc>
        <w:tc>
          <w:tcPr>
            <w:tcW w:type="dxa" w:w="856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Disable browser autofill on simulated secrets; reject/purge accidental sensitive formats; never persist dummy credential/OTP/payment field contents; sanitize rationale and content fields.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Access + session</w:t>
            </w:r>
          </w:p>
        </w:tc>
        <w:tc>
          <w:tcPr>
            <w:tcW w:type="dxa" w:w="856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Separate learner and admin permissions; adaptive salted admin password hashing; failed-login throttling; server-side authorization; idle timeout; CSRF/XSS/SQL injection defenses; logout cache clear.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Data governance</w:t>
            </w:r>
          </w:p>
        </w:tc>
        <w:tc>
          <w:tcPr>
            <w:tcW w:type="dxa" w:w="856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Collect minimum identity and training evidence; configurable retention; unit-scoped instructor access; encrypted OS volume/backups; audited export/reset/restore; restore test before deployment.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4"/>
              </w:rPr>
              <w:t>Content governance</w:t>
            </w:r>
          </w:p>
        </w:tc>
        <w:tc>
          <w:tcPr>
            <w:tcW w:type="dxa" w:w="856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4"/>
              </w:rPr>
              <w:t>Two-person review before publish, prohibited-live-indicator validator, scenario expiry/review date, versioning and retire/rollback. Do not include operationally reusable attack instructions or working payloads.</w:t>
            </w:r>
          </w:p>
        </w:tc>
      </w:tr>
    </w:tbl>
    <w:p>
      <w:pPr>
        <w:keepLines/>
        <w:spacing w:before="0" w:after="20" w:line="240" w:lineRule="auto"/>
      </w:pPr>
    </w:p>
    <w:p>
      <w:pPr>
        <w:pStyle w:val="Heading1"/>
        <w:keepNext/>
        <w:keepLines/>
      </w:pPr>
      <w:r>
        <w:t>13. Definition of done / acceptance tests</w:t>
      </w:r>
    </w:p>
    <w:tbl>
      <w:tblPr>
        <w:tblW w:type="dxa" w:w="1051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979"/>
        <w:gridCol w:w="9533"/>
      </w:tblGrid>
      <w:tr>
        <w:trPr>
          <w:tblHeader w:val="true"/>
        </w:trPr>
        <w:tc>
          <w:tcPr>
            <w:tcW w:type="dxa" w:w="97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953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0B2545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Acceptance condition</w:t>
            </w:r>
          </w:p>
        </w:tc>
      </w:tr>
      <w:tr>
        <w:tc>
          <w:tcPr>
            <w:tcW w:type="dxa" w:w="97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3"/>
              </w:rPr>
              <w:t>FR-01</w:t>
            </w:r>
          </w:p>
        </w:tc>
        <w:tc>
          <w:tcPr>
            <w:tcW w:type="dxa" w:w="953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3"/>
              </w:rPr>
              <w:t>Learner can sign in, complete/resume exactly 10 scenarios, receive a 0-100 result, view prior-attempt comparison and log out; another learner sees a clean session.</w:t>
            </w:r>
          </w:p>
        </w:tc>
      </w:tr>
      <w:tr>
        <w:tc>
          <w:tcPr>
            <w:tcW w:type="dxa" w:w="97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3"/>
              </w:rPr>
              <w:t>FR-02</w:t>
            </w:r>
          </w:p>
        </w:tc>
        <w:tc>
          <w:tcPr>
            <w:tcW w:type="dxa" w:w="953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3"/>
              </w:rPr>
              <w:t>Across 100 seeded test attempts, every attempt satisfies 4-platform, 2/5/3 difficulty, 7/3 legitimacy, diversity and sequencing constraints; same seed + versions reproduces the same order.</w:t>
            </w:r>
          </w:p>
        </w:tc>
      </w:tr>
      <w:tr>
        <w:tc>
          <w:tcPr>
            <w:tcW w:type="dxa" w:w="97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3"/>
              </w:rPr>
              <w:t>FR-03</w:t>
            </w:r>
          </w:p>
        </w:tc>
        <w:tc>
          <w:tcPr>
            <w:tcW w:type="dxa" w:w="953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3"/>
              </w:rPr>
              <w:t>Every published scenario has 5-6 reachable nodes, no orphan/dead-end branch, valid points in range, approved internal assets/targets and matching learner feedback.</w:t>
            </w:r>
          </w:p>
        </w:tc>
      </w:tr>
      <w:tr>
        <w:tc>
          <w:tcPr>
            <w:tcW w:type="dxa" w:w="97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3"/>
              </w:rPr>
              <w:t>FR-04</w:t>
            </w:r>
          </w:p>
        </w:tc>
        <w:tc>
          <w:tcPr>
            <w:tcW w:type="dxa" w:w="953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3"/>
              </w:rPr>
              <w:t>Unsafe and unjustified over-cautious actions reduce score exactly per rubric; duplicate submissions do not double-count; total and component scores reconcile.</w:t>
            </w:r>
          </w:p>
        </w:tc>
      </w:tr>
      <w:tr>
        <w:tc>
          <w:tcPr>
            <w:tcW w:type="dxa" w:w="97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3"/>
              </w:rPr>
              <w:t>FR-05</w:t>
            </w:r>
          </w:p>
        </w:tc>
        <w:tc>
          <w:tcPr>
            <w:tcW w:type="dxa" w:w="953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3"/>
              </w:rPr>
              <w:t>Evaluation withholds correctness until completion; guided mode explains after each scenario; switching is impossible. Admin can draft, validate, preview, publish/retire, assign, void/reset, export and audit.</w:t>
            </w:r>
          </w:p>
        </w:tc>
      </w:tr>
      <w:tr>
        <w:tc>
          <w:tcPr>
            <w:tcW w:type="dxa" w:w="97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3"/>
              </w:rPr>
              <w:t>NFR-01</w:t>
            </w:r>
          </w:p>
        </w:tc>
        <w:tc>
          <w:tcPr>
            <w:tcW w:type="dxa" w:w="953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3"/>
              </w:rPr>
              <w:t>Fresh install, migration, use, report, backup and restore succeed with network disconnected; automated test confirms zero outbound DNS/HTTP and all browser assets are local.</w:t>
            </w:r>
          </w:p>
        </w:tc>
      </w:tr>
      <w:tr>
        <w:tc>
          <w:tcPr>
            <w:tcW w:type="dxa" w:w="97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3"/>
              </w:rPr>
              <w:t>NFR-02</w:t>
            </w:r>
          </w:p>
        </w:tc>
        <w:tc>
          <w:tcPr>
            <w:tcW w:type="dxa" w:w="953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FFFFF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3"/>
              </w:rPr>
              <w:t>25 concurrent learners meet the response target; a crash resumes without loss/duplicates/changed sequence. Keyboard flow, focus, contrast, labels, alt text and non-color cues pass accessibility review.</w:t>
            </w:r>
          </w:p>
        </w:tc>
      </w:tr>
      <w:tr>
        <w:tc>
          <w:tcPr>
            <w:tcW w:type="dxa" w:w="979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B3A"/>
                <w:sz w:val="13"/>
              </w:rPr>
              <w:t>SEC-01</w:t>
            </w:r>
          </w:p>
        </w:tc>
        <w:tc>
          <w:tcPr>
            <w:tcW w:type="dxa" w:w="953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5" w:color="C9D5DC"/>
              <w:bottom w:val="single" w:sz="5" w:color="C9D5DC"/>
              <w:start w:val="single" w:sz="5" w:color="C9D5DC"/>
              <w:end w:val="single" w:sz="5" w:color="C9D5DC"/>
            </w:tcBorders>
            <w:shd w:fill="F2F6F8" w:val="clea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B3A"/>
                <w:sz w:val="13"/>
              </w:rPr>
              <w:t>Role/access, input validation, session isolation, export marking, backup encryption, restore integrity and no-real-secret retention are covered by automated and manual security tests.</w:t>
            </w:r>
          </w:p>
        </w:tc>
      </w:tr>
    </w:tbl>
    <w:p>
      <w:pPr>
        <w:keepLines/>
        <w:spacing w:before="0" w:after="20" w:line="240" w:lineRule="auto"/>
      </w:pPr>
    </w:p>
    <w:p>
      <w:pPr>
        <w:keepLines/>
        <w:spacing w:before="40" w:after="60" w:line="240" w:lineRule="auto"/>
        <w:shd w:val="clear" w:fill="E8F2F6"/>
        <w:pBdr>
          <w:left w:val="single" w:sz="22" w:space="7" w:color="147D92"/>
        </w:pBdr>
        <w:ind w:left="150" w:right="100"/>
      </w:pPr>
      <w:r>
        <w:rPr>
          <w:rFonts w:ascii="Calibri" w:hAnsi="Calibri" w:eastAsia="Calibri"/>
          <w:b/>
          <w:color w:val="147D92"/>
          <w:sz w:val="15"/>
        </w:rPr>
        <w:t xml:space="preserve">BUILD SEQUENCE + HAND-OFF  </w:t>
      </w:r>
      <w:r>
        <w:rPr>
          <w:rFonts w:ascii="Calibri" w:hAnsi="Calibri" w:eastAsia="Calibri"/>
          <w:color w:val="172B3A"/>
          <w:sz w:val="16"/>
        </w:rPr>
        <w:t>M1 vertical slice: login → dashboard → one scenario/platform → save → score → logout. M2 engine/content: versioning, branching, selector, 60 scenarios, both modes and admin preview. M3 readiness: reports, backup/restore, concurrency, accessibility, security/offline tests and pilot. Deliver source, reproducible offline build/installer, migrations, API + scenario schemas, seed fixtures/tests, threat model, operator/content/backup guides and release checksum.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62" w:right="792" w:bottom="691" w:left="792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spacing w:before="0" w:after="0" w:line="240" w:lineRule="auto"/>
      <w:jc w:val="right"/>
    </w:pPr>
    <w:r>
      <w:rPr>
        <w:rFonts w:ascii="Calibri" w:hAnsi="Calibri" w:eastAsia="Calibri"/>
        <w:b/>
        <w:color w:val="5D6B78"/>
        <w:sz w:val="14"/>
      </w:rPr>
      <w:t xml:space="preserve">VERSION 1.0   •   PAGE </w:t>
    </w:r>
    <w:r>
      <w:rPr>
        <w:rFonts w:ascii="Calibri" w:hAnsi="Calibri" w:eastAsia="Calibri"/>
        <w:color w:val="5D6B78"/>
        <w:sz w:val="14"/>
      </w:rPr>
      <w:fldChar w:fldCharType="begin"/>
      <w:instrText xml:space="preserve">PAGE</w:instrText>
      <w:fldChar w:fldCharType="end"/>
    </w:r>
    <w:r>
      <w:rPr>
        <w:rFonts w:ascii="Calibri" w:hAnsi="Calibri" w:eastAsia="Calibri"/>
        <w:b/>
        <w:color w:val="5D6B78"/>
        <w:sz w:val="14"/>
      </w:rPr>
      <w:t xml:space="preserve"> OF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spacing w:before="0" w:after="0" w:line="240" w:lineRule="auto"/>
      <w:jc w:val="left"/>
    </w:pPr>
    <w:r>
      <w:rPr>
        <w:rFonts w:ascii="Calibri" w:hAnsi="Calibri" w:eastAsia="Calibri"/>
        <w:b/>
        <w:color w:val="5D6B78"/>
        <w:sz w:val="13"/>
      </w:rPr>
      <w:t>OFFLINE SOCIAL-ENGINEERING TRAINING  |  DEVELOPER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470"/>
        </w:tabs>
        <w:ind w:left="470" w:hanging="240"/>
      </w:pPr>
      <w:rPr>
        <w:rFonts w:ascii="Calibri" w:hAnsi="Calibri"/>
      </w:r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60"/>
      </w:pPr>
      <w:rPr>
        <w:rFonts w:ascii="Calibri" w:hAnsi="Calibri"/>
      </w:r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color w:val="172B3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5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47D9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0" w:after="3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5D7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50" w:after="2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28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 w:line="240" w:lineRule="auto"/>
    </w:pPr>
    <w:rPr>
      <w:rFonts w:asciiTheme="majorHAnsi" w:eastAsiaTheme="majorEastAsia" w:hAnsiTheme="majorHAnsi" w:cstheme="majorBidi" w:ascii="Calibri" w:hAnsi="Calibri"/>
      <w:i/>
      <w:iCs/>
      <w:color w:val="5D6B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Offline Social-Engineering Training and Evaluation Application - Developer Brief</dc:title>
  <dc:subject>Version 1 product and engineering specification</dc:subject>
  <dc:creator/>
  <cp:keywords>offline training, social engineering, evaluation, WhatsApp, Instagram, Email, SMS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