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6" w:space="4" w:color="A9A9A9"/>
        </w:pBdr>
      </w:pPr>
      <w:r>
        <w:rPr>
          <w:rFonts w:ascii="Times New Roman" w:hAnsi="Times New Roman"/>
          <w:b/>
          <w:sz w:val="36"/>
        </w:rPr>
        <w:t>Mohamed Shabeeth N</w:t>
      </w:r>
    </w:p>
    <w:p>
      <w:pPr>
        <w:spacing w:after="30" w:before="0"/>
        <w:jc w:val="center"/>
      </w:pPr>
      <w:r>
        <w:rPr>
          <w:rFonts w:ascii="Times New Roman" w:hAnsi="Times New Roman"/>
          <w:sz w:val="17"/>
        </w:rPr>
        <w:t>mohamed.shabeeth@gmail.com  |  linkedin.com/in/shabeeth  |  github.com/shabeeth2</w:t>
      </w:r>
    </w:p>
    <w:p>
      <w:pPr>
        <w:spacing w:after="30" w:before="0"/>
        <w:jc w:val="center"/>
      </w:pPr>
      <w:r>
        <w:rPr>
          <w:rFonts w:ascii="Times New Roman" w:hAnsi="Times New Roman"/>
          <w:sz w:val="17"/>
        </w:rPr>
        <w:t>Chennai, India  |  +91 9943918340</w:t>
      </w:r>
    </w:p>
    <w:p>
      <w:pPr>
        <w:keepNext/>
        <w:spacing w:before="160" w:after="40"/>
        <w:pBdr>
          <w:bottom w:val="single" w:sz="6" w:space="4" w:color="A9A9A9"/>
        </w:pBdr>
      </w:pPr>
      <w:r>
        <w:rPr>
          <w:rFonts w:ascii="Times New Roman" w:hAnsi="Times New Roman"/>
          <w:b/>
          <w:sz w:val="21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86"/>
        <w:gridCol w:w="3586"/>
        <w:gridCol w:w="3586"/>
      </w:tblGrid>
      <w:tr>
        <w:tc>
          <w:tcPr>
            <w:tcW w:type="dxa" w:w="3586"/>
          </w:tcPr>
          <w:p>
            <w:pPr>
              <w:spacing w:after="30" w:before="30"/>
            </w:pPr>
            <w:r/>
            <w:r>
              <w:rPr>
                <w:rFonts w:ascii="Times New Roman" w:hAnsi="Times New Roman"/>
                <w:b/>
                <w:sz w:val="17"/>
              </w:rPr>
              <w:t>Assistant Systems Engineer</w:t>
            </w:r>
          </w:p>
        </w:tc>
        <w:tc>
          <w:tcPr>
            <w:tcW w:type="dxa" w:w="3586"/>
          </w:tcPr>
          <w:p>
            <w:pPr>
              <w:spacing w:after="30" w:before="3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Tata Consultancy Services</w:t>
            </w:r>
          </w:p>
        </w:tc>
        <w:tc>
          <w:tcPr>
            <w:tcW w:type="dxa" w:w="3586"/>
          </w:tcPr>
          <w:p>
            <w:pPr>
              <w:spacing w:after="30" w:before="30"/>
              <w:jc w:val="right"/>
            </w:pPr>
            <w:r/>
            <w:r>
              <w:rPr>
                <w:rFonts w:ascii="Times New Roman" w:hAnsi="Times New Roman"/>
                <w:sz w:val="17"/>
              </w:rPr>
              <w:t>Sep 2024 – Present</w:t>
            </w:r>
          </w:p>
        </w:tc>
      </w:tr>
    </w:tbl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Engineered an Agentic RAG system for health insurance using LangChain, vector databases, and LLM-powered agents with tool use and function calling for autonomous data retrieval and reasoning.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Architected an AI-powered ITSM solution with NLP ticket triage, semantic search recommendation using vector embeddings, and data quality engine, improving operational efficiency by 40%.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Delivered Top 5/400+ at TCS AI Hackathon, building an LLM compliance tracker with automated SQL rule generation, RAG-based document retrieval, and human-in-the-loop approval workflow.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Containerized AI services using Docker and deployed to cloud infrastructure with auto-scaling configurations for production-grade availability.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86"/>
        <w:gridCol w:w="3586"/>
        <w:gridCol w:w="3586"/>
      </w:tblGrid>
      <w:tr>
        <w:tc>
          <w:tcPr>
            <w:tcW w:type="dxa" w:w="3586"/>
          </w:tcPr>
          <w:p>
            <w:pPr>
              <w:spacing w:after="30" w:before="30"/>
            </w:pPr>
            <w:r/>
            <w:r>
              <w:rPr>
                <w:rFonts w:ascii="Times New Roman" w:hAnsi="Times New Roman"/>
                <w:b/>
                <w:sz w:val="17"/>
              </w:rPr>
              <w:t>AI Intern</w:t>
            </w:r>
          </w:p>
        </w:tc>
        <w:tc>
          <w:tcPr>
            <w:tcW w:type="dxa" w:w="3586"/>
          </w:tcPr>
          <w:p>
            <w:pPr>
              <w:spacing w:after="30" w:before="30"/>
              <w:jc w:val="center"/>
            </w:pPr>
            <w:r/>
            <w:r>
              <w:rPr>
                <w:rFonts w:ascii="Times New Roman" w:hAnsi="Times New Roman"/>
                <w:sz w:val="17"/>
              </w:rPr>
              <w:t>Resilience Business Grids</w:t>
            </w:r>
          </w:p>
        </w:tc>
        <w:tc>
          <w:tcPr>
            <w:tcW w:type="dxa" w:w="3586"/>
          </w:tcPr>
          <w:p>
            <w:pPr>
              <w:spacing w:after="30" w:before="30"/>
              <w:jc w:val="right"/>
            </w:pPr>
            <w:r/>
            <w:r>
              <w:rPr>
                <w:rFonts w:ascii="Times New Roman" w:hAnsi="Times New Roman"/>
                <w:sz w:val="17"/>
              </w:rPr>
              <w:t>Feb 2024 – Apr 2024</w:t>
            </w:r>
          </w:p>
        </w:tc>
      </w:tr>
    </w:tbl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Built document extraction pipeline combining Tesseract OCR and LLaVA, improving field-level extraction accuracy from 75% to 90%+ across 50+ document layouts using prompt engineering and model fine-tuning.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Developed Python validation layer using regex and rule-based checks to catch extraction errors before downstream processing, reducing manual review cycles by 70%.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Containerized extraction service using Docker and deployed to AWS SageMaker with auto-scaling for high availability and cost-efficient inference.</w:t>
      </w:r>
    </w:p>
    <w:p>
      <w:pPr>
        <w:keepNext/>
        <w:spacing w:before="160" w:after="40"/>
        <w:pBdr>
          <w:bottom w:val="single" w:sz="6" w:space="4" w:color="A9A9A9"/>
        </w:pBdr>
      </w:pPr>
      <w:r>
        <w:rPr>
          <w:rFonts w:ascii="Times New Roman" w:hAnsi="Times New Roman"/>
          <w:b/>
          <w:sz w:val="21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78"/>
        <w:gridCol w:w="5378"/>
      </w:tblGrid>
      <w:tr>
        <w:tc>
          <w:tcPr>
            <w:tcW w:type="dxa" w:w="5378"/>
          </w:tcPr>
          <w:p>
            <w:pPr>
              <w:spacing w:after="30" w:before="30"/>
            </w:pPr>
            <w:r/>
            <w:r>
              <w:rPr>
                <w:rFonts w:ascii="Times New Roman" w:hAnsi="Times New Roman"/>
                <w:b/>
                <w:sz w:val="17"/>
              </w:rPr>
              <w:t>Human-in-the-Loop Agent Feedback Interface</w:t>
            </w:r>
          </w:p>
        </w:tc>
        <w:tc>
          <w:tcPr>
            <w:tcW w:type="dxa" w:w="5378"/>
          </w:tcPr>
          <w:p>
            <w:pPr>
              <w:spacing w:after="30" w:before="30"/>
              <w:jc w:val="right"/>
            </w:pPr>
            <w:r/>
            <w:r>
              <w:rPr>
                <w:rFonts w:ascii="Times New Roman" w:hAnsi="Times New Roman"/>
                <w:sz w:val="17"/>
              </w:rPr>
              <w:t>Python, LangChain, CLI</w:t>
            </w:r>
          </w:p>
        </w:tc>
      </w:tr>
    </w:tbl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Engineered a Python-based human-in-the-loop review interface that serves AI-generated plans and artifacts in a local browser, enabling interactive feedback collection and agent-driven review workflows.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Designed a modular review architecture with reusable interfaces, integrating persistent session management and CLI-based feedback polling for seamless human-agent collaboration.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78"/>
        <w:gridCol w:w="5378"/>
      </w:tblGrid>
      <w:tr>
        <w:tc>
          <w:tcPr>
            <w:tcW w:type="dxa" w:w="5378"/>
          </w:tcPr>
          <w:p>
            <w:pPr>
              <w:spacing w:after="30" w:before="30"/>
            </w:pPr>
            <w:r/>
            <w:r>
              <w:rPr>
                <w:rFonts w:ascii="Times New Roman" w:hAnsi="Times New Roman"/>
                <w:b/>
                <w:sz w:val="17"/>
              </w:rPr>
              <w:t>Agentic RAG Compliance Tracker</w:t>
            </w:r>
          </w:p>
        </w:tc>
        <w:tc>
          <w:tcPr>
            <w:tcW w:type="dxa" w:w="5378"/>
          </w:tcPr>
          <w:p>
            <w:pPr>
              <w:spacing w:after="30" w:before="30"/>
              <w:jc w:val="right"/>
            </w:pPr>
            <w:r/>
            <w:r>
              <w:rPr>
                <w:rFonts w:ascii="Times New Roman" w:hAnsi="Times New Roman"/>
                <w:sz w:val="17"/>
              </w:rPr>
              <w:t>Python, LangChain, OpenAI API, PostgreSQL, Docker</w:t>
            </w:r>
          </w:p>
        </w:tc>
      </w:tr>
    </w:tbl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Architected an LLM-powered compliance tracker with automated SQL rule generation from natural language policy documents using RAG-based document retrieval.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Built human-in-the-loop approval workflow for generated compliance rules, ensuring accuracy and regulatory alignment before deployment.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Recognized for production-viable system design and scalability at TCS AI Hackathon (Top 5/400+).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78"/>
        <w:gridCol w:w="5378"/>
      </w:tblGrid>
      <w:tr>
        <w:tc>
          <w:tcPr>
            <w:tcW w:type="dxa" w:w="5378"/>
          </w:tcPr>
          <w:p>
            <w:pPr>
              <w:spacing w:after="30" w:before="30"/>
            </w:pPr>
            <w:r/>
            <w:r>
              <w:rPr>
                <w:rFonts w:ascii="Times New Roman" w:hAnsi="Times New Roman"/>
                <w:b/>
                <w:sz w:val="17"/>
              </w:rPr>
              <w:t>Adaptive AI Data Quality System</w:t>
            </w:r>
          </w:p>
        </w:tc>
        <w:tc>
          <w:tcPr>
            <w:tcW w:type="dxa" w:w="5378"/>
          </w:tcPr>
          <w:p>
            <w:pPr>
              <w:spacing w:after="30" w:before="30"/>
              <w:jc w:val="right"/>
            </w:pPr>
            <w:r/>
            <w:r>
              <w:rPr>
                <w:rFonts w:ascii="Times New Roman" w:hAnsi="Times New Roman"/>
                <w:sz w:val="17"/>
              </w:rPr>
              <w:t>Python, LangChain, ChromaDB, Docker, Kubernetes</w:t>
            </w:r>
          </w:p>
        </w:tc>
      </w:tr>
    </w:tbl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Architected autonomous data quality engine using Python + LangChain that auto-generated SQL validation rules from SOPs, reducing review time by 80%.</w:t>
      </w:r>
    </w:p>
    <w:p>
      <w:pPr>
        <w:pStyle w:val="ListBullet"/>
        <w:spacing w:after="30"/>
        <w:ind w:left="288"/>
      </w:pPr>
      <w:r>
        <w:rPr>
          <w:rFonts w:ascii="Times New Roman" w:hAnsi="Times New Roman"/>
          <w:sz w:val="17"/>
        </w:rPr>
        <w:t>Built anomaly detection pipeline using Isolation Forest + ChromaDB vector search to flag data drift across 50K+ records in real time with human-in-the-loop approval workflow.</w:t>
      </w:r>
    </w:p>
    <w:p>
      <w:pPr>
        <w:keepNext/>
        <w:spacing w:before="160" w:after="40"/>
        <w:pBdr>
          <w:bottom w:val="single" w:sz="6" w:space="4" w:color="A9A9A9"/>
        </w:pBdr>
      </w:pPr>
      <w:r>
        <w:rPr>
          <w:rFonts w:ascii="Times New Roman" w:hAnsi="Times New Roman"/>
          <w:b/>
          <w:sz w:val="21"/>
        </w:rPr>
        <w:t>Skills</w:t>
      </w:r>
    </w:p>
    <w:p>
      <w:pPr>
        <w:spacing w:after="40"/>
      </w:pPr>
      <w:r>
        <w:rPr>
          <w:rFonts w:ascii="Times New Roman" w:hAnsi="Times New Roman"/>
          <w:sz w:val="17"/>
        </w:rPr>
      </w:r>
      <w:r>
        <w:rPr>
          <w:rFonts w:ascii="Times New Roman" w:hAnsi="Times New Roman"/>
          <w:b/>
          <w:sz w:val="17"/>
        </w:rPr>
        <w:t>Languages:</w:t>
      </w:r>
      <w:r>
        <w:rPr>
          <w:rFonts w:ascii="Times New Roman" w:hAnsi="Times New Roman"/>
          <w:sz w:val="17"/>
        </w:rPr>
        <w:t xml:space="preserve"> Python, SQL, Bash</w:t>
      </w:r>
    </w:p>
    <w:p>
      <w:pPr>
        <w:spacing w:after="40"/>
      </w:pPr>
      <w:r>
        <w:rPr>
          <w:rFonts w:ascii="Times New Roman" w:hAnsi="Times New Roman"/>
          <w:sz w:val="17"/>
        </w:rPr>
      </w:r>
      <w:r>
        <w:rPr>
          <w:rFonts w:ascii="Times New Roman" w:hAnsi="Times New Roman"/>
          <w:b/>
          <w:sz w:val="17"/>
        </w:rPr>
        <w:t>AI/GenAI:</w:t>
      </w:r>
      <w:r>
        <w:rPr>
          <w:rFonts w:ascii="Times New Roman" w:hAnsi="Times New Roman"/>
          <w:sz w:val="17"/>
        </w:rPr>
        <w:t xml:space="preserve"> LangChain, LangGraph, RAG, LLMs, OpenAI API, Gemini API, Agentic AI, Prompt Engineering, Vector Search, ChromaDB, Human-in-the-Loop</w:t>
      </w:r>
    </w:p>
    <w:p>
      <w:pPr>
        <w:spacing w:after="40"/>
      </w:pPr>
      <w:r>
        <w:rPr>
          <w:rFonts w:ascii="Times New Roman" w:hAnsi="Times New Roman"/>
          <w:sz w:val="17"/>
        </w:rPr>
      </w:r>
      <w:r>
        <w:rPr>
          <w:rFonts w:ascii="Times New Roman" w:hAnsi="Times New Roman"/>
          <w:b/>
          <w:sz w:val="17"/>
        </w:rPr>
        <w:t>Backend:</w:t>
      </w:r>
      <w:r>
        <w:rPr>
          <w:rFonts w:ascii="Times New Roman" w:hAnsi="Times New Roman"/>
          <w:sz w:val="17"/>
        </w:rPr>
        <w:t xml:space="preserve"> FastAPI, REST APIs, Microservices, Event-Driven Architecture</w:t>
      </w:r>
    </w:p>
    <w:p>
      <w:pPr>
        <w:spacing w:after="40"/>
      </w:pPr>
      <w:r>
        <w:rPr>
          <w:rFonts w:ascii="Times New Roman" w:hAnsi="Times New Roman"/>
          <w:sz w:val="17"/>
        </w:rPr>
      </w:r>
      <w:r>
        <w:rPr>
          <w:rFonts w:ascii="Times New Roman" w:hAnsi="Times New Roman"/>
          <w:b/>
          <w:sz w:val="17"/>
        </w:rPr>
        <w:t>DevOps:</w:t>
      </w:r>
      <w:r>
        <w:rPr>
          <w:rFonts w:ascii="Times New Roman" w:hAnsi="Times New Roman"/>
          <w:sz w:val="17"/>
        </w:rPr>
        <w:t xml:space="preserve"> Docker, Kubernetes, GitHub Actions, CI/CD, AWS</w:t>
      </w:r>
    </w:p>
    <w:p>
      <w:pPr>
        <w:spacing w:after="40"/>
      </w:pPr>
      <w:r>
        <w:rPr>
          <w:rFonts w:ascii="Times New Roman" w:hAnsi="Times New Roman"/>
          <w:sz w:val="17"/>
        </w:rPr>
      </w:r>
      <w:r>
        <w:rPr>
          <w:rFonts w:ascii="Times New Roman" w:hAnsi="Times New Roman"/>
          <w:b/>
          <w:sz w:val="17"/>
        </w:rPr>
        <w:t>Certifications:</w:t>
      </w:r>
      <w:r>
        <w:rPr>
          <w:rFonts w:ascii="Times New Roman" w:hAnsi="Times New Roman"/>
          <w:sz w:val="17"/>
        </w:rPr>
        <w:t xml:space="preserve"> Microsoft Azure AI-900, GCP Generative AI Leader, Oracle Cloud GenAI Professional</w:t>
      </w:r>
    </w:p>
    <w:p>
      <w:pPr>
        <w:keepNext/>
        <w:spacing w:before="160" w:after="40"/>
        <w:pBdr>
          <w:bottom w:val="single" w:sz="6" w:space="4" w:color="A9A9A9"/>
        </w:pBdr>
      </w:pPr>
      <w:r>
        <w:rPr>
          <w:rFonts w:ascii="Times New Roman" w:hAnsi="Times New Roman"/>
          <w:b/>
          <w:sz w:val="21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78"/>
        <w:gridCol w:w="5378"/>
      </w:tblGrid>
      <w:tr>
        <w:tc>
          <w:tcPr>
            <w:tcW w:type="dxa" w:w="5378"/>
          </w:tcPr>
          <w:p>
            <w:pPr>
              <w:spacing w:after="30" w:before="30"/>
            </w:pPr>
            <w:r/>
            <w:r>
              <w:rPr>
                <w:rFonts w:ascii="Times New Roman" w:hAnsi="Times New Roman"/>
                <w:b/>
                <w:sz w:val="17"/>
              </w:rPr>
              <w:t>B.Tech in Artificial Intelligence &amp; Data Science</w:t>
            </w:r>
          </w:p>
        </w:tc>
        <w:tc>
          <w:tcPr>
            <w:tcW w:type="dxa" w:w="5378"/>
          </w:tcPr>
          <w:p>
            <w:pPr>
              <w:spacing w:after="30" w:before="30"/>
              <w:jc w:val="right"/>
            </w:pPr>
            <w:r/>
            <w:r>
              <w:rPr>
                <w:rFonts w:ascii="Times New Roman" w:hAnsi="Times New Roman"/>
                <w:sz w:val="17"/>
              </w:rPr>
              <w:t>May 2024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78"/>
        <w:gridCol w:w="5378"/>
      </w:tblGrid>
      <w:tr>
        <w:tc>
          <w:tcPr>
            <w:tcW w:type="dxa" w:w="5378"/>
          </w:tcPr>
          <w:p>
            <w:pPr>
              <w:spacing w:after="30" w:before="30"/>
            </w:pPr>
            <w:r/>
            <w:r>
              <w:rPr>
                <w:rFonts w:ascii="Times New Roman" w:hAnsi="Times New Roman"/>
                <w:b/>
                <w:sz w:val="17"/>
              </w:rPr>
              <w:t>SNS College of Engineering, Coimbatore</w:t>
            </w:r>
          </w:p>
        </w:tc>
        <w:tc>
          <w:tcPr>
            <w:tcW w:type="dxa" w:w="5378"/>
          </w:tcPr>
          <w:p>
            <w:pPr>
              <w:spacing w:after="30" w:before="30"/>
              <w:jc w:val="right"/>
            </w:pPr>
            <w:r/>
            <w:r>
              <w:rPr>
                <w:rFonts w:ascii="Times New Roman" w:hAnsi="Times New Roman"/>
                <w:sz w:val="17"/>
              </w:rPr>
              <w:t>CGPA: 8.5/10</w:t>
            </w:r>
          </w:p>
        </w:tc>
      </w:tr>
    </w:tbl>
    <w:sectPr w:rsidR="00FC693F" w:rsidRPr="0006063C" w:rsidSect="00034616">
      <w:pgSz w:w="11909" w:h="16834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