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6" w:space="4" w:color="A9A9A9"/>
        </w:pBdr>
      </w:pPr>
      <w:r>
        <w:rPr>
          <w:rFonts w:ascii="Verdana" w:hAnsi="Verdana"/>
          <w:b/>
          <w:sz w:val="36"/>
        </w:rPr>
        <w:t>Mohamed Shabeeth N</w:t>
      </w:r>
    </w:p>
    <w:p>
      <w:pPr>
        <w:spacing w:after="30" w:before="0"/>
        <w:jc w:val="center"/>
      </w:pPr>
      <w:r>
        <w:rPr>
          <w:rFonts w:ascii="Verdana" w:hAnsi="Verdana"/>
          <w:sz w:val="17"/>
        </w:rPr>
        <w:t>github.com/shabeeth2  |  github.com/shabeeth2  |  +91 9943918340</w:t>
      </w:r>
    </w:p>
    <w:p>
      <w:pPr>
        <w:spacing w:after="30" w:before="0"/>
        <w:jc w:val="center"/>
      </w:pPr>
      <w:r>
        <w:rPr>
          <w:rFonts w:ascii="Verdana" w:hAnsi="Verdana"/>
          <w:sz w:val="17"/>
        </w:rPr>
        <w:t>Chennai, India  |  linkedin.com/in/shabeeth  |  mohamed.shabeeth@gmail.com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Summary</w:t>
      </w:r>
    </w:p>
    <w:p>
      <w:pPr>
        <w:spacing w:after="40"/>
      </w:pPr>
      <w:r>
        <w:rPr>
          <w:rFonts w:ascii="Verdana" w:hAnsi="Verdana"/>
          <w:sz w:val="17"/>
        </w:rPr>
        <w:t>AI Engineer with 2 years building production-grade Generative AI systems, LLM-powered applications, and agentic workflows using Python, LangChain, and LangGraph. Delivered RAG pipelines, multi-agent architectures, and human-in-the-loop AI solutions. Experienced in prompt engineering, vector search, deep learning (PyTorch, TensorFlow), and MLOps practices.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Assistant Systems Engineer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Tata Consultancy Services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Sept 2024 – Present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Engineered an Agentic RAG proof-of-concept for the health insurance domain, integrating enterprise knowledge sources with vector databases and LLM-powered agents with tool use and function calling, enabling autonomous data retrieval and reasoning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Architected an AI-powered ITSM solution with NLP-based intelligent ticket triage, semantic search via vector embeddings, and a data quality engine — improving operational efficiency by 40%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Delivered Top 5 out of 400+ teams at TCS AI Hackathon by architecting an LLM-powered compliance tracker with automated SQL rule generation, RAG-based document retrieval, and human-in-the-loop approval workflows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Won TCS AI Friday Innovation Challenge (Regional Finals, Top 5); solution recognized by COO and showcased across customer accounts and the TCS AI organization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Led Generative AI and AI Engineering sessions for 400+ associates covering prompt engineering, fine-tuning strategies (LoRA, QLoRA, PEFT), and AI-driven development best practices, accelerating enterprise-wide AI adoption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AI Intern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Resilience Business Grids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Feb 2024 – Apr 2024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Built a production document extraction pipeline combining Tesseract OCR and LLaVA (Multimodal LLM), improving field-level extraction accuracy from 75% to 90%+ across 50+ document layouts via advanced prompt engineering and lightweight model fine-tuning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Developed a Python validation layer with regex and rule-based checks, reducing manual review cycles by 70% and ensuring data quality for downstream ML training pipelines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Containerized the extraction service with Docker and deployed to AWS SageMaker with auto-scaling, ensuring high-availability inference during peak processing loads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Adaptive AI Data Quality System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Python, LangChain, ChromaDB, Isolation Forest, Kafka, Docker, AWS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2024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Architected an autonomous data quality engine using Python and LangChain that auto-generated SQL validation rules from SOPs, eliminating manual rule authoring for 12 check categories and reducing review time by 80%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Built an anomaly detection pipeline using Isolation Forest and ChromaDB vector search to flag data drift across 50,000+ policy records in real time, with human-in-the-loop approval achieving 99.5% 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Multimodal Computer Interface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Python, LangChain, Gemini Vision, Whisper, FastAPI, Redis, Docker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github.com/shabeeth2/MMCI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Developed an adaptive HCI system integrating Gemini Vision, Whisper, and text inputs for cross-modal task execution, achieving 95% task completion accuracy in user trials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Designed a modular microservices backend with FastAPI and Redis caching, handling concurrent multimodal requests with sub-200ms response times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86"/>
        <w:gridCol w:w="3586"/>
        <w:gridCol w:w="3586"/>
      </w:tblGrid>
      <w:tr>
        <w:tc>
          <w:tcPr>
            <w:tcW w:type="dxa" w:w="3586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Automated Job Sourcing &amp; AI Resume Tailoring Platform</w:t>
            </w:r>
          </w:p>
        </w:tc>
        <w:tc>
          <w:tcPr>
            <w:tcW w:type="dxa" w:w="3586"/>
          </w:tcPr>
          <w:p>
            <w:pPr>
              <w:spacing w:after="30" w:before="30"/>
              <w:jc w:val="center"/>
            </w:pPr>
            <w:r/>
            <w:r>
              <w:rPr>
                <w:rFonts w:ascii="Verdana" w:hAnsi="Verdana"/>
                <w:sz w:val="17"/>
              </w:rPr>
              <w:t>Python, Java, Spring Boot, Apache Kafka, Gemini AI, Docker</w:t>
            </w:r>
          </w:p>
        </w:tc>
        <w:tc>
          <w:tcPr>
            <w:tcW w:type="dxa" w:w="3586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2024</w:t>
            </w:r>
          </w:p>
        </w:tc>
      </w:tr>
    </w:tbl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Engineered an automated job-sourcing platform integrating a Python web scraper with a Java Spring Boot microservices architecture, using Apache Kafka for asynchronous event-driven processing of live job postings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Built an AI-powered resume tailoring engine using Google Gemini AI to semantically analyze job descriptions and generate role-specific resumes, improving keyword alignment and application relevance</w:t>
      </w:r>
    </w:p>
    <w:p>
      <w:pPr>
        <w:pStyle w:val="ListBullet"/>
        <w:spacing w:after="30"/>
        <w:ind w:left="288"/>
      </w:pPr>
      <w:r>
        <w:rPr>
          <w:rFonts w:ascii="Verdana" w:hAnsi="Verdana"/>
          <w:sz w:val="17"/>
        </w:rPr>
        <w:t>Containerized the full stack with Docker, orchestrating Python pipelines, Kafka messaging, and Java services into a reliable distributed system for end-to-end job discovery and application preparation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Skills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Languages &amp; Frameworks:</w:t>
      </w:r>
      <w:r>
        <w:rPr>
          <w:rFonts w:ascii="Verdana" w:hAnsi="Verdana"/>
          <w:sz w:val="17"/>
        </w:rPr>
        <w:t xml:space="preserve"> Python, Java, SQL, FastAPI, LangChain, LangGraph, Spring Boot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Generative AI:</w:t>
      </w:r>
      <w:r>
        <w:rPr>
          <w:rFonts w:ascii="Verdana" w:hAnsi="Verdana"/>
          <w:sz w:val="17"/>
        </w:rPr>
        <w:t xml:space="preserve"> LLMs, RAG, Agentic AI, Prompt Engineering, Function Calling, Tool Use, Human-in-the-Loop, Multimodal AI, NLP, Computer Vision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Deep Learning &amp; ML:</w:t>
      </w:r>
      <w:r>
        <w:rPr>
          <w:rFonts w:ascii="Verdana" w:hAnsi="Verdana"/>
          <w:sz w:val="17"/>
        </w:rPr>
        <w:t xml:space="preserve"> PyTorch, TensorFlow, scikit-learn, Anomaly Detection, Isolation Forest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Vector Databases:</w:t>
      </w:r>
      <w:r>
        <w:rPr>
          <w:rFonts w:ascii="Verdana" w:hAnsi="Verdana"/>
          <w:sz w:val="17"/>
        </w:rPr>
        <w:t xml:space="preserve"> ChromaDB, FAISS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LLM APIs:</w:t>
      </w:r>
      <w:r>
        <w:rPr>
          <w:rFonts w:ascii="Verdana" w:hAnsi="Verdana"/>
          <w:sz w:val="17"/>
        </w:rPr>
        <w:t xml:space="preserve"> OpenAI API, Gemini API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Cloud &amp; DevOps:</w:t>
      </w:r>
      <w:r>
        <w:rPr>
          <w:rFonts w:ascii="Verdana" w:hAnsi="Verdana"/>
          <w:sz w:val="17"/>
        </w:rPr>
        <w:t xml:space="preserve"> AWS (SageMaker, EC2, S3, Lambda), Docker, Kubernetes, Apache Kafka</w:t>
      </w:r>
    </w:p>
    <w:p>
      <w:pPr>
        <w:spacing w:after="40"/>
      </w:pPr>
      <w:r>
        <w:rPr>
          <w:rFonts w:ascii="Verdana" w:hAnsi="Verdana"/>
          <w:sz w:val="17"/>
        </w:rPr>
      </w:r>
      <w:r>
        <w:rPr>
          <w:rFonts w:ascii="Verdana" w:hAnsi="Verdana"/>
          <w:b/>
          <w:sz w:val="17"/>
        </w:rPr>
        <w:t>Data:</w:t>
      </w:r>
      <w:r>
        <w:rPr>
          <w:rFonts w:ascii="Verdana" w:hAnsi="Verdana"/>
          <w:sz w:val="17"/>
        </w:rPr>
        <w:t xml:space="preserve"> PostgreSQL, MongoDB, Redis, Data Pipelines</w:t>
      </w:r>
    </w:p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B.Tech in Artificial Intelligence &amp; Data Science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Sept 2020 – May 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SNS College of Engineering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Coimbatore, India | CGPA: 8.5/10</w:t>
            </w:r>
          </w:p>
        </w:tc>
      </w:tr>
    </w:tbl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GCP Generative AI Leader — Google Cloud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Oracle Cloud Generative AI Professional — Oracle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Microsoft Azure AI-900 (AI Fundamentals) — Microsoft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2023</w:t>
            </w:r>
          </w:p>
        </w:tc>
      </w:tr>
    </w:tbl>
    <w:p>
      <w:pPr>
        <w:keepNext/>
        <w:spacing w:before="160" w:after="40"/>
        <w:pBdr>
          <w:bottom w:val="single" w:sz="6" w:space="4" w:color="A9A9A9"/>
        </w:pBdr>
      </w:pPr>
      <w:r>
        <w:rPr>
          <w:rFonts w:ascii="Verdana" w:hAnsi="Verdana"/>
          <w:b/>
          <w:sz w:val="21"/>
        </w:rPr>
        <w:t>Awards and Honors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Top 5 / 400+ Teams, TCS AI Hackathon — LLM-Powered Compliance Tracker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78"/>
        <w:gridCol w:w="5378"/>
      </w:tblGrid>
      <w:tr>
        <w:tc>
          <w:tcPr>
            <w:tcW w:type="dxa" w:w="5378"/>
          </w:tcPr>
          <w:p>
            <w:pPr>
              <w:spacing w:after="30" w:before="30"/>
            </w:pPr>
            <w:r/>
            <w:r>
              <w:rPr>
                <w:rFonts w:ascii="Verdana" w:hAnsi="Verdana"/>
                <w:b/>
                <w:sz w:val="17"/>
              </w:rPr>
              <w:t>Regional Finals, Top 5, TCS AI Friday Innovation Challenge — COO Recognition</w:t>
            </w:r>
          </w:p>
        </w:tc>
        <w:tc>
          <w:tcPr>
            <w:tcW w:type="dxa" w:w="5378"/>
          </w:tcPr>
          <w:p>
            <w:pPr>
              <w:spacing w:after="30" w:before="30"/>
              <w:jc w:val="right"/>
            </w:pPr>
            <w:r/>
            <w:r>
              <w:rPr>
                <w:rFonts w:ascii="Verdana" w:hAnsi="Verdana"/>
                <w:sz w:val="17"/>
              </w:rPr>
              <w:t>2025</w:t>
            </w:r>
          </w:p>
        </w:tc>
      </w:tr>
    </w:tbl>
    <w:sectPr w:rsidR="00FC693F" w:rsidRPr="0006063C" w:rsidSect="00034616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