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ADVANTAGES, LIMITATIONS &amp; FUTURE SCOPE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Advantages</w:t>
      </w:r>
    </w:p>
    <w:p>
      <w:r>
        <w:t>Less manual task creation; consistent assignment; better traceability.</w:t>
      </w:r>
    </w:p>
    <w:p>
      <w:pPr>
        <w:pStyle w:val="Heading1"/>
      </w:pPr>
      <w:r>
        <w:t>Limitations</w:t>
      </w:r>
    </w:p>
    <w:p>
      <w:r>
        <w:t>Requires correct configuration and permissions; source does not include measured savings or verified test results.</w:t>
      </w:r>
    </w:p>
    <w:p>
      <w:pPr>
        <w:pStyle w:val="Heading1"/>
      </w:pPr>
      <w:r>
        <w:t>Future Scope</w:t>
      </w:r>
    </w:p>
    <w:p>
      <w:r>
        <w:t>Notifications, SLA tracking, escalation, dashboard metrics, and negative-path testing.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