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316"/>
            </w:pPr>
          </w:p>
          <w:p>
            <w:pPr>
              <w:pBdr>
                <w:bottom w:val="single" w:color="15857A" w:sz="6" w:space="8"/>
              </w:pBdr>
              <w:spacing w:after="500"/>
              <w:ind w:left="1200" w:right="800"/>
            </w:pPr>
            <w:r>
              <w:rPr>
                <w:rFonts w:ascii="Calibri" w:eastAsia="SimHei"/>
                <w:color w:val="15857A"/>
                <w:spacing w:val="40"/>
                <w:sz w:val="18"/>
                <w:szCs w:val="18"/>
              </w:rPr>
              <w:t xml:space="preserve">P  R  D</w:t>
            </w:r>
          </w:p>
          <w:p>
            <w:pPr>
              <w:spacing w:after="100" w:line="1012" w:lineRule="atLeast"/>
              <w:ind w:left="1200"/>
            </w:pPr>
            <w:r>
              <w:rPr>
                <w:rFonts w:ascii="Arial" w:eastAsia="SimHei"/>
                <w:b/>
                <w:bCs/>
                <w:color w:val="15857A"/>
                <w:sz w:val="88"/>
                <w:szCs w:val="88"/>
              </w:rPr>
              <w:t xml:space="preserve">School</w:t>
            </w:r>
          </w:p>
          <w:p>
            <w:pPr>
              <w:spacing w:after="100" w:line="1012" w:lineRule="atLeast"/>
              <w:ind w:left="1200"/>
            </w:pPr>
            <w:r>
              <w:rPr>
                <w:rFonts w:ascii="Arial" w:eastAsia="SimHei"/>
                <w:b/>
                <w:bCs/>
                <w:color w:val="15857A"/>
                <w:sz w:val="88"/>
                <w:szCs w:val="88"/>
              </w:rPr>
              <w:t xml:space="preserve">Management</w:t>
            </w:r>
          </w:p>
          <w:p>
            <w:pPr>
              <w:spacing w:after="300" w:line="1012" w:lineRule="atLeast"/>
              <w:ind w:left="1200"/>
            </w:pPr>
            <w:r>
              <w:rPr>
                <w:rFonts w:ascii="Arial" w:eastAsia="SimHei"/>
                <w:b/>
                <w:bCs/>
                <w:color w:val="15857A"/>
                <w:sz w:val="88"/>
                <w:szCs w:val="88"/>
              </w:rPr>
              <w:t xml:space="preserve">System</w:t>
            </w:r>
          </w:p>
          <w:p>
            <w:pPr>
              <w:spacing w:after="800"/>
              <w:ind w:left="1200"/>
            </w:pPr>
            <w:r>
              <w:rPr>
                <w:rFonts w:ascii="Arial" w:eastAsia="Microsoft YaHei"/>
                <w:color w:val="606060"/>
                <w:sz w:val="24"/>
                <w:szCs w:val="24"/>
              </w:rPr>
              <w:t xml:space="preserve">Product Requirements Document — Version 1.0</w:t>
            </w:r>
          </w:p>
          <w:p>
            <w:pPr>
              <w:pBdr>
                <w:left w:val="single" w:color="15857A" w:sz="8" w:space="12"/>
              </w:pBdr>
              <w:spacing w:after="80"/>
              <w:ind w:left="1400"/>
            </w:pPr>
            <w:r>
              <w:rPr>
                <w:rFonts w:ascii="Arial" w:eastAsia="Microsoft YaHei"/>
                <w:color w:val="707070"/>
                <w:sz w:val="22"/>
                <w:szCs w:val="22"/>
              </w:rPr>
              <w:t xml:space="preserve">Document Type: Product Requirements Document (PRD)</w:t>
            </w:r>
          </w:p>
          <w:p>
            <w:pPr>
              <w:pBdr>
                <w:left w:val="single" w:color="15857A" w:sz="8" w:space="12"/>
              </w:pBdr>
              <w:spacing w:after="80"/>
              <w:ind w:left="1400"/>
            </w:pPr>
            <w:r>
              <w:rPr>
                <w:rFonts w:ascii="Arial" w:eastAsia="Microsoft YaHei"/>
                <w:color w:val="707070"/>
                <w:sz w:val="22"/>
                <w:szCs w:val="22"/>
              </w:rPr>
              <w:t xml:space="preserve">Version: 1.0</w:t>
            </w:r>
          </w:p>
          <w:p>
            <w:pPr>
              <w:pBdr>
                <w:left w:val="single" w:color="15857A" w:sz="8" w:space="12"/>
              </w:pBdr>
              <w:spacing w:after="80"/>
              <w:ind w:left="1400"/>
            </w:pPr>
            <w:r>
              <w:rPr>
                <w:rFonts w:ascii="Arial" w:eastAsia="Microsoft YaHei"/>
                <w:color w:val="707070"/>
                <w:sz w:val="22"/>
                <w:szCs w:val="22"/>
              </w:rPr>
              <w:t xml:space="preserve">Date: July 2026</w:t>
            </w:r>
          </w:p>
          <w:p>
            <w:pPr>
              <w:pBdr>
                <w:left w:val="single" w:color="15857A" w:sz="8" w:space="12"/>
              </w:pBdr>
              <w:spacing w:after="80"/>
              <w:ind w:left="1400"/>
            </w:pPr>
            <w:r>
              <w:rPr>
                <w:rFonts w:ascii="Arial" w:eastAsia="Microsoft YaHei"/>
                <w:color w:val="707070"/>
                <w:sz w:val="22"/>
                <w:szCs w:val="22"/>
              </w:rPr>
              <w:t xml:space="preserve">Status: Draft for Review</w:t>
            </w:r>
          </w:p>
          <w:p>
            <w:pPr>
              <w:pBdr>
                <w:left w:val="single" w:color="15857A" w:sz="8" w:space="12"/>
              </w:pBdr>
              <w:spacing w:after="80"/>
              <w:ind w:left="1400"/>
            </w:pPr>
            <w:r>
              <w:rPr>
                <w:rFonts w:ascii="Arial" w:eastAsia="Microsoft YaHei"/>
                <w:color w:val="707070"/>
                <w:sz w:val="22"/>
                <w:szCs w:val="22"/>
              </w:rPr>
              <w:t xml:space="preserve">Audience: Product, Engineering, QA, Stakeholders</w:t>
            </w:r>
          </w:p>
          <w:p>
            <w:pPr>
              <w:spacing w:before="3316"/>
            </w:pPr>
          </w:p>
          <w:p>
            <w:pPr>
              <w:pBdr>
                <w:top w:val="single" w:color="15857A" w:sz="2" w:space="8"/>
              </w:pBdr>
              <w:spacing w:before="200"/>
              <w:ind w:left="1200" w:right="800"/>
            </w:pPr>
            <w:r>
              <w:rPr>
                <w:rFonts w:ascii="Arial"/>
                <w:color w:val="A0A0A0"/>
                <w:sz w:val="16"/>
                <w:szCs w:val="16"/>
              </w:rPr>
              <w:t xml:space="preserve">Confidential — Internal Use Only</w:t>
            </w:r>
            <w:r>
              <w:t xml:space="preserve">                                        </w:t>
            </w:r>
            <w:r>
              <w:rPr>
                <w:rFonts w:ascii="Arial"/>
                <w:color w:val="A0A0A0"/>
                <w:sz w:val="16"/>
                <w:szCs w:val="16"/>
              </w:rPr>
              <w:t xml:space="preserve">School Management System v1.0</w:t>
            </w:r>
          </w:p>
        </w:tc>
      </w:tr>
    </w:tbl>
    <w:p>
      <w:pPr>
        <w:sectPr>
          <w:pgSz w:w="11906" w:h="16838" w:orient="portrait"/>
          <w:pgMar w:top="0" w:right="0" w:bottom="0" w:left="0" w:header="708" w:footer="708" w:gutter="0"/>
          <w:pgNumType/>
          <w:docGrid w:linePitch="360"/>
        </w:sectPr>
      </w:pPr>
    </w:p>
    <w:p>
      <w:pPr>
        <w:spacing w:after="400" w:before="200"/>
        <w:jc w:val="center"/>
      </w:pPr>
      <w:r>
        <w:rPr>
          <w:rFonts w:ascii="Calibri" w:eastAsia="SimHei"/>
          <w:b/>
          <w:bCs/>
          <w:color w:val="15857A"/>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Project Vision &amp; Objectives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Vision Statement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2.2 Problem Statement</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2.3 Measurable Objectives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2.4 Scope Boundaries</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2.4.1 In Scope (v1.0)</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2.4.2 Out of Scope (v1.0)</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3. Target Users &amp; Roles</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3.1 Role: Admin</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3.2 Role: Accountant</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3.3 Role: Teacher</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3.4 Permission Matrix</w:t>
            </w:r>
            <w:r>
              <w:tab/>
            </w:r>
            <w:r>
              <w:fldChar w:fldCharType="begin"/>
            </w:r>
            <w:r>
              <w:instrText xml:space="preserve"> PAGEREF _Toc100012 \h </w:instrText>
            </w:r>
            <w:r>
              <w:fldChar w:fldCharType="separate"/>
            </w:r>
            <w:r>
              <w:t>7</w:t>
            </w:r>
            <w:r>
              <w:fldChar w:fldCharType="end"/>
            </w:r>
          </w:hyperlink>
        </w:p>
        <w:p>
          <w:pPr>
            <w:pStyle w:val="9"/>
            <w:tabs>
              <w:tab w:val="right" w:leader="dot" w:pos="9026"/>
            </w:tabs>
            <w:spacing w:before="120" w:after="60"/>
          </w:pPr>
          <w:hyperlink w:anchor="_Toc100013" w:history="1">
            <w:r>
              <w:rPr>
                <w:rStyle w:val="Hyperlink"/>
              </w:rPr>
              <w:t>4. Technology Stack &amp; Architecture</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4.1 Technology Stack</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4.2 Seven-Layer Architecture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4.3 Data Flow Example — Collecting a Fee</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4.4 Project Structure</w:t>
            </w:r>
            <w:r>
              <w:tab/>
            </w:r>
            <w:r>
              <w:fldChar w:fldCharType="begin"/>
            </w:r>
            <w:r>
              <w:instrText xml:space="preserve"> PAGEREF _Toc100017 \h </w:instrText>
            </w:r>
            <w:r>
              <w:fldChar w:fldCharType="separate"/>
            </w:r>
            <w:r>
              <w:t>8</w:t>
            </w:r>
            <w:r>
              <w:fldChar w:fldCharType="end"/>
            </w:r>
          </w:hyperlink>
        </w:p>
        <w:p>
          <w:pPr>
            <w:pStyle w:val="9"/>
            <w:tabs>
              <w:tab w:val="right" w:leader="dot" w:pos="9026"/>
            </w:tabs>
            <w:spacing w:before="120" w:after="60"/>
          </w:pPr>
          <w:hyperlink w:anchor="_Toc100018" w:history="1">
            <w:r>
              <w:rPr>
                <w:rStyle w:val="Hyperlink"/>
              </w:rPr>
              <w:t>5. Functional Modules — Overview</w:t>
            </w:r>
            <w:r>
              <w:tab/>
            </w:r>
            <w:r>
              <w:fldChar w:fldCharType="begin"/>
            </w:r>
            <w:r>
              <w:instrText xml:space="preserve"> PAGEREF _Toc100018 \h </w:instrText>
            </w:r>
            <w:r>
              <w:fldChar w:fldCharType="separate"/>
            </w:r>
            <w:r>
              <w:t>9</w:t>
            </w:r>
            <w:r>
              <w:fldChar w:fldCharType="end"/>
            </w:r>
          </w:hyperlink>
        </w:p>
        <w:p>
          <w:pPr>
            <w:pStyle w:val="9"/>
            <w:tabs>
              <w:tab w:val="right" w:leader="dot" w:pos="9026"/>
            </w:tabs>
            <w:spacing w:before="120" w:after="60"/>
          </w:pPr>
          <w:hyperlink w:anchor="_Toc100019" w:history="1">
            <w:r>
              <w:rPr>
                <w:rStyle w:val="Hyperlink"/>
              </w:rPr>
              <w:t>6. Module 1: Dashboard</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6.1 KPI Tiles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6.2 Recent Activities Feed</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6.3 Quick Action Buttons</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6.4 Data Sources &amp; Refresh</w:t>
            </w:r>
            <w:r>
              <w:tab/>
            </w:r>
            <w:r>
              <w:fldChar w:fldCharType="begin"/>
            </w:r>
            <w:r>
              <w:instrText xml:space="preserve"> PAGEREF _Toc100023 \h </w:instrText>
            </w:r>
            <w:r>
              <w:fldChar w:fldCharType="separate"/>
            </w:r>
            <w:r>
              <w:t>11</w:t>
            </w:r>
            <w:r>
              <w:fldChar w:fldCharType="end"/>
            </w:r>
          </w:hyperlink>
        </w:p>
        <w:p>
          <w:pPr>
            <w:pStyle w:val="9"/>
            <w:tabs>
              <w:tab w:val="right" w:leader="dot" w:pos="9026"/>
            </w:tabs>
            <w:spacing w:before="120" w:after="60"/>
          </w:pPr>
          <w:hyperlink w:anchor="_Toc100024" w:history="1">
            <w:r>
              <w:rPr>
                <w:rStyle w:val="Hyperlink"/>
              </w:rPr>
              <w:t>7. Module 2: Student Management</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7.1 Admission Form</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7.1.1 Personal Information Fields</w:t>
            </w:r>
            <w:r>
              <w:tab/>
            </w:r>
            <w:r>
              <w:fldChar w:fldCharType="begin"/>
            </w:r>
            <w:r>
              <w:instrText xml:space="preserve"> PAGEREF _Toc100026 \h </w:instrText>
            </w:r>
            <w:r>
              <w:fldChar w:fldCharType="separate"/>
            </w:r>
            <w:r>
              <w:t>12</w:t>
            </w:r>
            <w:r>
              <w:fldChar w:fldCharType="end"/>
            </w:r>
          </w:hyperlink>
        </w:p>
        <w:p>
          <w:pPr>
            <w:pStyle w:val="12"/>
            <w:ind w:left="720"/>
            <w:tabs>
              <w:tab w:val="right" w:leader="dot" w:pos="9026"/>
            </w:tabs>
            <w:spacing w:before="120" w:after="60"/>
          </w:pPr>
          <w:hyperlink w:anchor="_Toc100027" w:history="1">
            <w:r>
              <w:rPr>
                <w:rStyle w:val="Hyperlink"/>
              </w:rPr>
              <w:t>7.1.2 Parent/Guardian Details</w:t>
            </w:r>
            <w:r>
              <w:tab/>
            </w:r>
            <w:r>
              <w:fldChar w:fldCharType="begin"/>
            </w:r>
            <w:r>
              <w:instrText xml:space="preserve"> PAGEREF _Toc100027 \h </w:instrText>
            </w:r>
            <w:r>
              <w:fldChar w:fldCharType="separate"/>
            </w:r>
            <w:r>
              <w:t>13</w:t>
            </w:r>
            <w:r>
              <w:fldChar w:fldCharType="end"/>
            </w:r>
          </w:hyperlink>
        </w:p>
        <w:p>
          <w:pPr>
            <w:pStyle w:val="12"/>
            <w:ind w:left="720"/>
            <w:tabs>
              <w:tab w:val="right" w:leader="dot" w:pos="9026"/>
            </w:tabs>
            <w:spacing w:before="120" w:after="60"/>
          </w:pPr>
          <w:hyperlink w:anchor="_Toc100028" w:history="1">
            <w:r>
              <w:rPr>
                <w:rStyle w:val="Hyperlink"/>
              </w:rPr>
              <w:t>7.1.3 Class Assignment</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7.2 Student Profile View</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7.3 Student Promotion</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7.4 Student Transfer &amp; Leaving</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7.5 Search &amp; Filter</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7.6 Student ID Card with QR Code</w:t>
            </w:r>
            <w:r>
              <w:tab/>
            </w:r>
            <w:r>
              <w:fldChar w:fldCharType="begin"/>
            </w:r>
            <w:r>
              <w:instrText xml:space="preserve"> PAGEREF _Toc100033 \h </w:instrText>
            </w:r>
            <w:r>
              <w:fldChar w:fldCharType="separate"/>
            </w:r>
            <w:r>
              <w:t>16</w:t>
            </w:r>
            <w:r>
              <w:fldChar w:fldCharType="end"/>
            </w:r>
          </w:hyperlink>
        </w:p>
        <w:p>
          <w:pPr>
            <w:pStyle w:val="9"/>
            <w:tabs>
              <w:tab w:val="right" w:leader="dot" w:pos="9026"/>
            </w:tabs>
            <w:spacing w:before="120" w:after="60"/>
          </w:pPr>
          <w:hyperlink w:anchor="_Toc100034" w:history="1">
            <w:r>
              <w:rPr>
                <w:rStyle w:val="Hyperlink"/>
              </w:rPr>
              <w:t>8. Module 3: Teacher Management</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8.1 Add/Edit Teacher</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8.2 Subject &amp; Class Assignment</w:t>
            </w:r>
            <w:r>
              <w:tab/>
            </w:r>
            <w:r>
              <w:fldChar w:fldCharType="begin"/>
            </w:r>
            <w:r>
              <w:instrText xml:space="preserve"> PAGEREF _Toc100036 \h </w:instrText>
            </w:r>
            <w:r>
              <w:fldChar w:fldCharType="separate"/>
            </w:r>
            <w:r>
              <w:t>16</w:t>
            </w:r>
            <w:r>
              <w:fldChar w:fldCharType="end"/>
            </w:r>
          </w:hyperlink>
        </w:p>
        <w:p>
          <w:pPr>
            <w:pStyle w:val="11"/>
            <w:ind w:left="360"/>
            <w:tabs>
              <w:tab w:val="right" w:leader="dot" w:pos="9026"/>
            </w:tabs>
            <w:spacing w:before="120" w:after="60"/>
          </w:pPr>
          <w:hyperlink w:anchor="_Toc100037" w:history="1">
            <w:r>
              <w:rPr>
                <w:rStyle w:val="Hyperlink"/>
              </w:rPr>
              <w:t>8.3 Teacher Profile View</w:t>
            </w:r>
            <w:r>
              <w:tab/>
            </w:r>
            <w:r>
              <w:fldChar w:fldCharType="begin"/>
            </w:r>
            <w:r>
              <w:instrText xml:space="preserve"> PAGEREF _Toc100037 \h </w:instrText>
            </w:r>
            <w:r>
              <w:fldChar w:fldCharType="separate"/>
            </w:r>
            <w:r>
              <w:t>17</w:t>
            </w:r>
            <w:r>
              <w:fldChar w:fldCharType="end"/>
            </w:r>
          </w:hyperlink>
        </w:p>
        <w:p>
          <w:pPr>
            <w:pStyle w:val="11"/>
            <w:ind w:left="360"/>
            <w:tabs>
              <w:tab w:val="right" w:leader="dot" w:pos="9026"/>
            </w:tabs>
            <w:spacing w:before="120" w:after="60"/>
          </w:pPr>
          <w:hyperlink w:anchor="_Toc100038" w:history="1">
            <w:r>
              <w:rPr>
                <w:rStyle w:val="Hyperlink"/>
              </w:rPr>
              <w:t>8.4 Teacher Deactivation</w:t>
            </w:r>
            <w:r>
              <w:tab/>
            </w:r>
            <w:r>
              <w:fldChar w:fldCharType="begin"/>
            </w:r>
            <w:r>
              <w:instrText xml:space="preserve"> PAGEREF _Toc100038 \h </w:instrText>
            </w:r>
            <w:r>
              <w:fldChar w:fldCharType="separate"/>
            </w:r>
            <w:r>
              <w:t>17</w:t>
            </w:r>
            <w:r>
              <w:fldChar w:fldCharType="end"/>
            </w:r>
          </w:hyperlink>
        </w:p>
        <w:p>
          <w:pPr>
            <w:pStyle w:val="9"/>
            <w:tabs>
              <w:tab w:val="right" w:leader="dot" w:pos="9026"/>
            </w:tabs>
            <w:spacing w:before="120" w:after="60"/>
          </w:pPr>
          <w:hyperlink w:anchor="_Toc100039" w:history="1">
            <w:r>
              <w:rPr>
                <w:rStyle w:val="Hyperlink"/>
              </w:rPr>
              <w:t>9. Module 4: Staff Management</w:t>
            </w:r>
            <w:r>
              <w:tab/>
            </w:r>
            <w:r>
              <w:fldChar w:fldCharType="begin"/>
            </w:r>
            <w:r>
              <w:instrText xml:space="preserve"> PAGEREF _Toc100039 \h </w:instrText>
            </w:r>
            <w:r>
              <w:fldChar w:fldCharType="separate"/>
            </w:r>
            <w:r>
              <w:t>17</w:t>
            </w:r>
            <w:r>
              <w:fldChar w:fldCharType="end"/>
            </w:r>
          </w:hyperlink>
        </w:p>
        <w:p>
          <w:pPr>
            <w:pStyle w:val="11"/>
            <w:ind w:left="360"/>
            <w:tabs>
              <w:tab w:val="right" w:leader="dot" w:pos="9026"/>
            </w:tabs>
            <w:spacing w:before="120" w:after="60"/>
          </w:pPr>
          <w:hyperlink w:anchor="_Toc100040" w:history="1">
            <w:r>
              <w:rPr>
                <w:rStyle w:val="Hyperlink"/>
              </w:rPr>
              <w:t>9.1 Add/Edit Staff</w:t>
            </w:r>
            <w:r>
              <w:tab/>
            </w:r>
            <w:r>
              <w:fldChar w:fldCharType="begin"/>
            </w:r>
            <w:r>
              <w:instrText xml:space="preserve"> PAGEREF _Toc100040 \h </w:instrText>
            </w:r>
            <w:r>
              <w:fldChar w:fldCharType="separate"/>
            </w:r>
            <w:r>
              <w:t>17</w:t>
            </w:r>
            <w:r>
              <w:fldChar w:fldCharType="end"/>
            </w:r>
          </w:hyperlink>
        </w:p>
        <w:p>
          <w:pPr>
            <w:pStyle w:val="11"/>
            <w:ind w:left="360"/>
            <w:tabs>
              <w:tab w:val="right" w:leader="dot" w:pos="9026"/>
            </w:tabs>
            <w:spacing w:before="120" w:after="60"/>
          </w:pPr>
          <w:hyperlink w:anchor="_Toc100041" w:history="1">
            <w:r>
              <w:rPr>
                <w:rStyle w:val="Hyperlink"/>
              </w:rPr>
              <w:t>9.2 Staff Profile View</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9.3 Department List</w:t>
            </w:r>
            <w:r>
              <w:tab/>
            </w:r>
            <w:r>
              <w:fldChar w:fldCharType="begin"/>
            </w:r>
            <w:r>
              <w:instrText xml:space="preserve"> PAGEREF _Toc100042 \h </w:instrText>
            </w:r>
            <w:r>
              <w:fldChar w:fldCharType="separate"/>
            </w:r>
            <w:r>
              <w:t>18</w:t>
            </w:r>
            <w:r>
              <w:fldChar w:fldCharType="end"/>
            </w:r>
          </w:hyperlink>
        </w:p>
        <w:p>
          <w:pPr>
            <w:pStyle w:val="9"/>
            <w:tabs>
              <w:tab w:val="right" w:leader="dot" w:pos="9026"/>
            </w:tabs>
            <w:spacing w:before="120" w:after="60"/>
          </w:pPr>
          <w:hyperlink w:anchor="_Toc100043" w:history="1">
            <w:r>
              <w:rPr>
                <w:rStyle w:val="Hyperlink"/>
              </w:rPr>
              <w:t>10. Module 5: Class Management</w:t>
            </w:r>
            <w:r>
              <w:tab/>
            </w:r>
            <w:r>
              <w:fldChar w:fldCharType="begin"/>
            </w:r>
            <w:r>
              <w:instrText xml:space="preserve"> PAGEREF _Toc100043 \h </w:instrText>
            </w:r>
            <w:r>
              <w:fldChar w:fldCharType="separate"/>
            </w:r>
            <w:r>
              <w:t>18</w:t>
            </w:r>
            <w:r>
              <w:fldChar w:fldCharType="end"/>
            </w:r>
          </w:hyperlink>
        </w:p>
        <w:p>
          <w:pPr>
            <w:pStyle w:val="11"/>
            <w:ind w:left="360"/>
            <w:tabs>
              <w:tab w:val="right" w:leader="dot" w:pos="9026"/>
            </w:tabs>
            <w:spacing w:before="120" w:after="60"/>
          </w:pPr>
          <w:hyperlink w:anchor="_Toc100044" w:history="1">
            <w:r>
              <w:rPr>
                <w:rStyle w:val="Hyperlink"/>
              </w:rPr>
              <w:t>10.1 Classes &amp; Sections</w:t>
            </w:r>
            <w:r>
              <w:tab/>
            </w:r>
            <w:r>
              <w:fldChar w:fldCharType="begin"/>
            </w:r>
            <w:r>
              <w:instrText xml:space="preserve"> PAGEREF _Toc100044 \h </w:instrText>
            </w:r>
            <w:r>
              <w:fldChar w:fldCharType="separate"/>
            </w:r>
            <w:r>
              <w:t>18</w:t>
            </w:r>
            <w:r>
              <w:fldChar w:fldCharType="end"/>
            </w:r>
          </w:hyperlink>
        </w:p>
        <w:p>
          <w:pPr>
            <w:pStyle w:val="11"/>
            <w:ind w:left="360"/>
            <w:tabs>
              <w:tab w:val="right" w:leader="dot" w:pos="9026"/>
            </w:tabs>
            <w:spacing w:before="120" w:after="60"/>
          </w:pPr>
          <w:hyperlink w:anchor="_Toc100045" w:history="1">
            <w:r>
              <w:rPr>
                <w:rStyle w:val="Hyperlink"/>
              </w:rPr>
              <w:t>10.2 Subjects per Class</w:t>
            </w:r>
            <w:r>
              <w:tab/>
            </w:r>
            <w:r>
              <w:fldChar w:fldCharType="begin"/>
            </w:r>
            <w:r>
              <w:instrText xml:space="preserve"> PAGEREF _Toc100045 \h </w:instrText>
            </w:r>
            <w:r>
              <w:fldChar w:fldCharType="separate"/>
            </w:r>
            <w:r>
              <w:t>19</w:t>
            </w:r>
            <w:r>
              <w:fldChar w:fldCharType="end"/>
            </w:r>
          </w:hyperlink>
        </w:p>
        <w:p>
          <w:pPr>
            <w:pStyle w:val="11"/>
            <w:ind w:left="360"/>
            <w:tabs>
              <w:tab w:val="right" w:leader="dot" w:pos="9026"/>
            </w:tabs>
            <w:spacing w:before="120" w:after="60"/>
          </w:pPr>
          <w:hyperlink w:anchor="_Toc100046" w:history="1">
            <w:r>
              <w:rPr>
                <w:rStyle w:val="Hyperlink"/>
              </w:rPr>
              <w:t>10.3 Class Teacher Assignment</w:t>
            </w:r>
            <w:r>
              <w:tab/>
            </w:r>
            <w:r>
              <w:fldChar w:fldCharType="begin"/>
            </w:r>
            <w:r>
              <w:instrText xml:space="preserve"> PAGEREF _Toc100046 \h </w:instrText>
            </w:r>
            <w:r>
              <w:fldChar w:fldCharType="separate"/>
            </w:r>
            <w:r>
              <w:t>19</w:t>
            </w:r>
            <w:r>
              <w:fldChar w:fldCharType="end"/>
            </w:r>
          </w:hyperlink>
        </w:p>
        <w:p>
          <w:pPr>
            <w:pStyle w:val="11"/>
            <w:ind w:left="360"/>
            <w:tabs>
              <w:tab w:val="right" w:leader="dot" w:pos="9026"/>
            </w:tabs>
            <w:spacing w:before="120" w:after="60"/>
          </w:pPr>
          <w:hyperlink w:anchor="_Toc100047" w:history="1">
            <w:r>
              <w:rPr>
                <w:rStyle w:val="Hyperlink"/>
              </w:rPr>
              <w:t>10.4 Student Roster per Class-Section</w:t>
            </w:r>
            <w:r>
              <w:tab/>
            </w:r>
            <w:r>
              <w:fldChar w:fldCharType="begin"/>
            </w:r>
            <w:r>
              <w:instrText xml:space="preserve"> PAGEREF _Toc100047 \h </w:instrText>
            </w:r>
            <w:r>
              <w:fldChar w:fldCharType="separate"/>
            </w:r>
            <w:r>
              <w:t>19</w:t>
            </w:r>
            <w:r>
              <w:fldChar w:fldCharType="end"/>
            </w:r>
          </w:hyperlink>
        </w:p>
        <w:p>
          <w:pPr>
            <w:pStyle w:val="9"/>
            <w:tabs>
              <w:tab w:val="right" w:leader="dot" w:pos="9026"/>
            </w:tabs>
            <w:spacing w:before="120" w:after="60"/>
          </w:pPr>
          <w:hyperlink w:anchor="_Toc100048" w:history="1">
            <w:r>
              <w:rPr>
                <w:rStyle w:val="Hyperlink"/>
              </w:rPr>
              <w:t>11. Module 6: Timetable</w:t>
            </w:r>
            <w:r>
              <w:tab/>
            </w:r>
            <w:r>
              <w:fldChar w:fldCharType="begin"/>
            </w:r>
            <w:r>
              <w:instrText xml:space="preserve"> PAGEREF _Toc100048 \h </w:instrText>
            </w:r>
            <w:r>
              <w:fldChar w:fldCharType="separate"/>
            </w:r>
            <w:r>
              <w:t>19</w:t>
            </w:r>
            <w:r>
              <w:fldChar w:fldCharType="end"/>
            </w:r>
          </w:hyperlink>
        </w:p>
        <w:p>
          <w:pPr>
            <w:pStyle w:val="11"/>
            <w:ind w:left="360"/>
            <w:tabs>
              <w:tab w:val="right" w:leader="dot" w:pos="9026"/>
            </w:tabs>
            <w:spacing w:before="120" w:after="60"/>
          </w:pPr>
          <w:hyperlink w:anchor="_Toc100049" w:history="1">
            <w:r>
              <w:rPr>
                <w:rStyle w:val="Hyperlink"/>
              </w:rPr>
              <w:t>11.1 Period &amp; Day Structure</w:t>
            </w:r>
            <w:r>
              <w:tab/>
            </w:r>
            <w:r>
              <w:fldChar w:fldCharType="begin"/>
            </w:r>
            <w:r>
              <w:instrText xml:space="preserve"> PAGEREF _Toc100049 \h </w:instrText>
            </w:r>
            <w:r>
              <w:fldChar w:fldCharType="separate"/>
            </w:r>
            <w:r>
              <w:t>20</w:t>
            </w:r>
            <w:r>
              <w:fldChar w:fldCharType="end"/>
            </w:r>
          </w:hyperlink>
        </w:p>
        <w:p>
          <w:pPr>
            <w:pStyle w:val="11"/>
            <w:ind w:left="360"/>
            <w:tabs>
              <w:tab w:val="right" w:leader="dot" w:pos="9026"/>
            </w:tabs>
            <w:spacing w:before="120" w:after="60"/>
          </w:pPr>
          <w:hyperlink w:anchor="_Toc100050" w:history="1">
            <w:r>
              <w:rPr>
                <w:rStyle w:val="Hyperlink"/>
              </w:rPr>
              <w:t>11.2 Timetable Grid</w:t>
            </w:r>
            <w:r>
              <w:tab/>
            </w:r>
            <w:r>
              <w:fldChar w:fldCharType="begin"/>
            </w:r>
            <w:r>
              <w:instrText xml:space="preserve"> PAGEREF _Toc100050 \h </w:instrText>
            </w:r>
            <w:r>
              <w:fldChar w:fldCharType="separate"/>
            </w:r>
            <w:r>
              <w:t>20</w:t>
            </w:r>
            <w:r>
              <w:fldChar w:fldCharType="end"/>
            </w:r>
          </w:hyperlink>
        </w:p>
        <w:p>
          <w:pPr>
            <w:pStyle w:val="11"/>
            <w:ind w:left="360"/>
            <w:tabs>
              <w:tab w:val="right" w:leader="dot" w:pos="9026"/>
            </w:tabs>
            <w:spacing w:before="120" w:after="60"/>
          </w:pPr>
          <w:hyperlink w:anchor="_Toc100051" w:history="1">
            <w:r>
              <w:rPr>
                <w:rStyle w:val="Hyperlink"/>
              </w:rPr>
              <w:t>11.3 Conflict Detection</w:t>
            </w:r>
            <w:r>
              <w:tab/>
            </w:r>
            <w:r>
              <w:fldChar w:fldCharType="begin"/>
            </w:r>
            <w:r>
              <w:instrText xml:space="preserve"> PAGEREF _Toc100051 \h </w:instrText>
            </w:r>
            <w:r>
              <w:fldChar w:fldCharType="separate"/>
            </w:r>
            <w:r>
              <w:t>20</w:t>
            </w:r>
            <w:r>
              <w:fldChar w:fldCharType="end"/>
            </w:r>
          </w:hyperlink>
        </w:p>
        <w:p>
          <w:pPr>
            <w:pStyle w:val="11"/>
            <w:ind w:left="360"/>
            <w:tabs>
              <w:tab w:val="right" w:leader="dot" w:pos="9026"/>
            </w:tabs>
            <w:spacing w:before="120" w:after="60"/>
          </w:pPr>
          <w:hyperlink w:anchor="_Toc100052" w:history="1">
            <w:r>
              <w:rPr>
                <w:rStyle w:val="Hyperlink"/>
              </w:rPr>
              <w:t>11.4 Data Model</w:t>
            </w:r>
            <w:r>
              <w:tab/>
            </w:r>
            <w:r>
              <w:fldChar w:fldCharType="begin"/>
            </w:r>
            <w:r>
              <w:instrText xml:space="preserve"> PAGEREF _Toc100052 \h </w:instrText>
            </w:r>
            <w:r>
              <w:fldChar w:fldCharType="separate"/>
            </w:r>
            <w:r>
              <w:t>20</w:t>
            </w:r>
            <w:r>
              <w:fldChar w:fldCharType="end"/>
            </w:r>
          </w:hyperlink>
        </w:p>
        <w:p>
          <w:pPr>
            <w:pStyle w:val="11"/>
            <w:ind w:left="360"/>
            <w:tabs>
              <w:tab w:val="right" w:leader="dot" w:pos="9026"/>
            </w:tabs>
            <w:spacing w:before="120" w:after="60"/>
          </w:pPr>
          <w:hyperlink w:anchor="_Toc100053" w:history="1">
            <w:r>
              <w:rPr>
                <w:rStyle w:val="Hyperlink"/>
              </w:rPr>
              <w:t>11.5 Teacher Timetable View</w:t>
            </w:r>
            <w:r>
              <w:tab/>
            </w:r>
            <w:r>
              <w:fldChar w:fldCharType="begin"/>
            </w:r>
            <w:r>
              <w:instrText xml:space="preserve"> PAGEREF _Toc100053 \h </w:instrText>
            </w:r>
            <w:r>
              <w:fldChar w:fldCharType="separate"/>
            </w:r>
            <w:r>
              <w:t>21</w:t>
            </w:r>
            <w:r>
              <w:fldChar w:fldCharType="end"/>
            </w:r>
          </w:hyperlink>
        </w:p>
        <w:p>
          <w:pPr>
            <w:pStyle w:val="11"/>
            <w:ind w:left="360"/>
            <w:tabs>
              <w:tab w:val="right" w:leader="dot" w:pos="9026"/>
            </w:tabs>
            <w:spacing w:before="120" w:after="60"/>
          </w:pPr>
          <w:hyperlink w:anchor="_Toc100054" w:history="1">
            <w:r>
              <w:rPr>
                <w:rStyle w:val="Hyperlink"/>
              </w:rPr>
              <w:t>11.6 Print Timetable</w:t>
            </w:r>
            <w:r>
              <w:tab/>
            </w:r>
            <w:r>
              <w:fldChar w:fldCharType="begin"/>
            </w:r>
            <w:r>
              <w:instrText xml:space="preserve"> PAGEREF _Toc100054 \h </w:instrText>
            </w:r>
            <w:r>
              <w:fldChar w:fldCharType="separate"/>
            </w:r>
            <w:r>
              <w:t>21</w:t>
            </w:r>
            <w:r>
              <w:fldChar w:fldCharType="end"/>
            </w:r>
          </w:hyperlink>
        </w:p>
        <w:p>
          <w:pPr>
            <w:pStyle w:val="9"/>
            <w:tabs>
              <w:tab w:val="right" w:leader="dot" w:pos="9026"/>
            </w:tabs>
            <w:spacing w:before="120" w:after="60"/>
          </w:pPr>
          <w:hyperlink w:anchor="_Toc100055" w:history="1">
            <w:r>
              <w:rPr>
                <w:rStyle w:val="Hyperlink"/>
              </w:rPr>
              <w:t>12. Module 7: Attendance</w:t>
            </w:r>
            <w:r>
              <w:tab/>
            </w:r>
            <w:r>
              <w:fldChar w:fldCharType="begin"/>
            </w:r>
            <w:r>
              <w:instrText xml:space="preserve"> PAGEREF _Toc100055 \h </w:instrText>
            </w:r>
            <w:r>
              <w:fldChar w:fldCharType="separate"/>
            </w:r>
            <w:r>
              <w:t>21</w:t>
            </w:r>
            <w:r>
              <w:fldChar w:fldCharType="end"/>
            </w:r>
          </w:hyperlink>
        </w:p>
        <w:p>
          <w:pPr>
            <w:pStyle w:val="11"/>
            <w:ind w:left="360"/>
            <w:tabs>
              <w:tab w:val="right" w:leader="dot" w:pos="9026"/>
            </w:tabs>
            <w:spacing w:before="120" w:after="60"/>
          </w:pPr>
          <w:hyperlink w:anchor="_Toc100056" w:history="1">
            <w:r>
              <w:rPr>
                <w:rStyle w:val="Hyperlink"/>
              </w:rPr>
              <w:t>12.1 Student Attendance</w:t>
            </w:r>
            <w:r>
              <w:tab/>
            </w:r>
            <w:r>
              <w:fldChar w:fldCharType="begin"/>
            </w:r>
            <w:r>
              <w:instrText xml:space="preserve"> PAGEREF _Toc100056 \h </w:instrText>
            </w:r>
            <w:r>
              <w:fldChar w:fldCharType="separate"/>
            </w:r>
            <w:r>
              <w:t>21</w:t>
            </w:r>
            <w:r>
              <w:fldChar w:fldCharType="end"/>
            </w:r>
          </w:hyperlink>
        </w:p>
        <w:p>
          <w:pPr>
            <w:pStyle w:val="12"/>
            <w:ind w:left="720"/>
            <w:tabs>
              <w:tab w:val="right" w:leader="dot" w:pos="9026"/>
            </w:tabs>
            <w:spacing w:before="120" w:after="60"/>
          </w:pPr>
          <w:hyperlink w:anchor="_Toc100057" w:history="1">
            <w:r>
              <w:rPr>
                <w:rStyle w:val="Hyperlink"/>
              </w:rPr>
              <w:t>12.1.1 Daily Attendance Report</w:t>
            </w:r>
            <w:r>
              <w:tab/>
            </w:r>
            <w:r>
              <w:fldChar w:fldCharType="begin"/>
            </w:r>
            <w:r>
              <w:instrText xml:space="preserve"> PAGEREF _Toc100057 \h </w:instrText>
            </w:r>
            <w:r>
              <w:fldChar w:fldCharType="separate"/>
            </w:r>
            <w:r>
              <w:t>22</w:t>
            </w:r>
            <w:r>
              <w:fldChar w:fldCharType="end"/>
            </w:r>
          </w:hyperlink>
        </w:p>
        <w:p>
          <w:pPr>
            <w:pStyle w:val="12"/>
            <w:ind w:left="720"/>
            <w:tabs>
              <w:tab w:val="right" w:leader="dot" w:pos="9026"/>
            </w:tabs>
            <w:spacing w:before="120" w:after="60"/>
          </w:pPr>
          <w:hyperlink w:anchor="_Toc100058" w:history="1">
            <w:r>
              <w:rPr>
                <w:rStyle w:val="Hyperlink"/>
              </w:rPr>
              <w:t>12.1.2 Monthly Attendance Report</w:t>
            </w:r>
            <w:r>
              <w:tab/>
            </w:r>
            <w:r>
              <w:fldChar w:fldCharType="begin"/>
            </w:r>
            <w:r>
              <w:instrText xml:space="preserve"> PAGEREF _Toc100058 \h </w:instrText>
            </w:r>
            <w:r>
              <w:fldChar w:fldCharType="separate"/>
            </w:r>
            <w:r>
              <w:t>22</w:t>
            </w:r>
            <w:r>
              <w:fldChar w:fldCharType="end"/>
            </w:r>
          </w:hyperlink>
        </w:p>
        <w:p>
          <w:pPr>
            <w:pStyle w:val="11"/>
            <w:ind w:left="360"/>
            <w:tabs>
              <w:tab w:val="right" w:leader="dot" w:pos="9026"/>
            </w:tabs>
            <w:spacing w:before="120" w:after="60"/>
          </w:pPr>
          <w:hyperlink w:anchor="_Toc100059" w:history="1">
            <w:r>
              <w:rPr>
                <w:rStyle w:val="Hyperlink"/>
              </w:rPr>
              <w:t>12.2 Teacher Attendance</w:t>
            </w:r>
            <w:r>
              <w:tab/>
            </w:r>
            <w:r>
              <w:fldChar w:fldCharType="begin"/>
            </w:r>
            <w:r>
              <w:instrText xml:space="preserve"> PAGEREF _Toc100059 \h </w:instrText>
            </w:r>
            <w:r>
              <w:fldChar w:fldCharType="separate"/>
            </w:r>
            <w:r>
              <w:t>22</w:t>
            </w:r>
            <w:r>
              <w:fldChar w:fldCharType="end"/>
            </w:r>
          </w:hyperlink>
        </w:p>
        <w:p>
          <w:pPr>
            <w:pStyle w:val="12"/>
            <w:ind w:left="720"/>
            <w:tabs>
              <w:tab w:val="right" w:leader="dot" w:pos="9026"/>
            </w:tabs>
            <w:spacing w:before="120" w:after="60"/>
          </w:pPr>
          <w:hyperlink w:anchor="_Toc100060" w:history="1">
            <w:r>
              <w:rPr>
                <w:rStyle w:val="Hyperlink"/>
              </w:rPr>
              <w:t>12.2.1 Monthly Summary</w:t>
            </w:r>
            <w:r>
              <w:tab/>
            </w:r>
            <w:r>
              <w:fldChar w:fldCharType="begin"/>
            </w:r>
            <w:r>
              <w:instrText xml:space="preserve"> PAGEREF _Toc100060 \h </w:instrText>
            </w:r>
            <w:r>
              <w:fldChar w:fldCharType="separate"/>
            </w:r>
            <w:r>
              <w:t>22</w:t>
            </w:r>
            <w:r>
              <w:fldChar w:fldCharType="end"/>
            </w:r>
          </w:hyperlink>
        </w:p>
        <w:p>
          <w:pPr>
            <w:pStyle w:val="11"/>
            <w:ind w:left="360"/>
            <w:tabs>
              <w:tab w:val="right" w:leader="dot" w:pos="9026"/>
            </w:tabs>
            <w:spacing w:before="120" w:after="60"/>
          </w:pPr>
          <w:hyperlink w:anchor="_Toc100061" w:history="1">
            <w:r>
              <w:rPr>
                <w:rStyle w:val="Hyperlink"/>
              </w:rPr>
              <w:t>12.3 Staff Attendance</w:t>
            </w:r>
            <w:r>
              <w:tab/>
            </w:r>
            <w:r>
              <w:fldChar w:fldCharType="begin"/>
            </w:r>
            <w:r>
              <w:instrText xml:space="preserve"> PAGEREF _Toc100061 \h </w:instrText>
            </w:r>
            <w:r>
              <w:fldChar w:fldCharType="separate"/>
            </w:r>
            <w:r>
              <w:t>23</w:t>
            </w:r>
            <w:r>
              <w:fldChar w:fldCharType="end"/>
            </w:r>
          </w:hyperlink>
        </w:p>
        <w:p>
          <w:pPr>
            <w:pStyle w:val="11"/>
            <w:ind w:left="360"/>
            <w:tabs>
              <w:tab w:val="right" w:leader="dot" w:pos="9026"/>
            </w:tabs>
            <w:spacing w:before="120" w:after="60"/>
          </w:pPr>
          <w:hyperlink w:anchor="_Toc100062" w:history="1">
            <w:r>
              <w:rPr>
                <w:rStyle w:val="Hyperlink"/>
              </w:rPr>
              <w:t>12.4 Attendance Locking</w:t>
            </w:r>
            <w:r>
              <w:tab/>
            </w:r>
            <w:r>
              <w:fldChar w:fldCharType="begin"/>
            </w:r>
            <w:r>
              <w:instrText xml:space="preserve"> PAGEREF _Toc100062 \h </w:instrText>
            </w:r>
            <w:r>
              <w:fldChar w:fldCharType="separate"/>
            </w:r>
            <w:r>
              <w:t>23</w:t>
            </w:r>
            <w:r>
              <w:fldChar w:fldCharType="end"/>
            </w:r>
          </w:hyperlink>
        </w:p>
        <w:p>
          <w:pPr>
            <w:pStyle w:val="9"/>
            <w:tabs>
              <w:tab w:val="right" w:leader="dot" w:pos="9026"/>
            </w:tabs>
            <w:spacing w:before="120" w:after="60"/>
          </w:pPr>
          <w:hyperlink w:anchor="_Toc100063" w:history="1">
            <w:r>
              <w:rPr>
                <w:rStyle w:val="Hyperlink"/>
              </w:rPr>
              <w:t>13. Module 8: Salary &amp; Fine Management</w:t>
            </w:r>
            <w:r>
              <w:tab/>
            </w:r>
            <w:r>
              <w:fldChar w:fldCharType="begin"/>
            </w:r>
            <w:r>
              <w:instrText xml:space="preserve"> PAGEREF _Toc100063 \h </w:instrText>
            </w:r>
            <w:r>
              <w:fldChar w:fldCharType="separate"/>
            </w:r>
            <w:r>
              <w:t>23</w:t>
            </w:r>
            <w:r>
              <w:fldChar w:fldCharType="end"/>
            </w:r>
          </w:hyperlink>
        </w:p>
        <w:p>
          <w:pPr>
            <w:pStyle w:val="11"/>
            <w:ind w:left="360"/>
            <w:tabs>
              <w:tab w:val="right" w:leader="dot" w:pos="9026"/>
            </w:tabs>
            <w:spacing w:before="120" w:after="60"/>
          </w:pPr>
          <w:hyperlink w:anchor="_Toc100064" w:history="1">
            <w:r>
              <w:rPr>
                <w:rStyle w:val="Hyperlink"/>
              </w:rPr>
              <w:t>13.1 Salary Components</w:t>
            </w:r>
            <w:r>
              <w:tab/>
            </w:r>
            <w:r>
              <w:fldChar w:fldCharType="begin"/>
            </w:r>
            <w:r>
              <w:instrText xml:space="preserve"> PAGEREF _Toc100064 \h </w:instrText>
            </w:r>
            <w:r>
              <w:fldChar w:fldCharType="separate"/>
            </w:r>
            <w:r>
              <w:t>23</w:t>
            </w:r>
            <w:r>
              <w:fldChar w:fldCharType="end"/>
            </w:r>
          </w:hyperlink>
        </w:p>
        <w:p>
          <w:pPr>
            <w:pStyle w:val="11"/>
            <w:ind w:left="360"/>
            <w:tabs>
              <w:tab w:val="right" w:leader="dot" w:pos="9026"/>
            </w:tabs>
            <w:spacing w:before="120" w:after="60"/>
          </w:pPr>
          <w:hyperlink w:anchor="_Toc100065" w:history="1">
            <w:r>
              <w:rPr>
                <w:rStyle w:val="Hyperlink"/>
              </w:rPr>
              <w:t>13.2 Attendance-Based Fine Rules</w:t>
            </w:r>
            <w:r>
              <w:tab/>
            </w:r>
            <w:r>
              <w:fldChar w:fldCharType="begin"/>
            </w:r>
            <w:r>
              <w:instrText xml:space="preserve"> PAGEREF _Toc100065 \h </w:instrText>
            </w:r>
            <w:r>
              <w:fldChar w:fldCharType="separate"/>
            </w:r>
            <w:r>
              <w:t>24</w:t>
            </w:r>
            <w:r>
              <w:fldChar w:fldCharType="end"/>
            </w:r>
          </w:hyperlink>
        </w:p>
        <w:p>
          <w:pPr>
            <w:pStyle w:val="11"/>
            <w:ind w:left="360"/>
            <w:tabs>
              <w:tab w:val="right" w:leader="dot" w:pos="9026"/>
            </w:tabs>
            <w:spacing w:before="120" w:after="60"/>
          </w:pPr>
          <w:hyperlink w:anchor="_Toc100066" w:history="1">
            <w:r>
              <w:rPr>
                <w:rStyle w:val="Hyperlink"/>
              </w:rPr>
              <w:t>13.3 Salary Calculation Workflow</w:t>
            </w:r>
            <w:r>
              <w:tab/>
            </w:r>
            <w:r>
              <w:fldChar w:fldCharType="begin"/>
            </w:r>
            <w:r>
              <w:instrText xml:space="preserve"> PAGEREF _Toc100066 \h </w:instrText>
            </w:r>
            <w:r>
              <w:fldChar w:fldCharType="separate"/>
            </w:r>
            <w:r>
              <w:t>24</w:t>
            </w:r>
            <w:r>
              <w:fldChar w:fldCharType="end"/>
            </w:r>
          </w:hyperlink>
        </w:p>
        <w:p>
          <w:pPr>
            <w:pStyle w:val="11"/>
            <w:ind w:left="360"/>
            <w:tabs>
              <w:tab w:val="right" w:leader="dot" w:pos="9026"/>
            </w:tabs>
            <w:spacing w:before="120" w:after="60"/>
          </w:pPr>
          <w:hyperlink w:anchor="_Toc100067" w:history="1">
            <w:r>
              <w:rPr>
                <w:rStyle w:val="Hyperlink"/>
              </w:rPr>
              <w:t>13.4 Worked Example</w:t>
            </w:r>
            <w:r>
              <w:tab/>
            </w:r>
            <w:r>
              <w:fldChar w:fldCharType="begin"/>
            </w:r>
            <w:r>
              <w:instrText xml:space="preserve"> PAGEREF _Toc100067 \h </w:instrText>
            </w:r>
            <w:r>
              <w:fldChar w:fldCharType="separate"/>
            </w:r>
            <w:r>
              <w:t>26</w:t>
            </w:r>
            <w:r>
              <w:fldChar w:fldCharType="end"/>
            </w:r>
          </w:hyperlink>
        </w:p>
        <w:p>
          <w:pPr>
            <w:pStyle w:val="11"/>
            <w:ind w:left="360"/>
            <w:tabs>
              <w:tab w:val="right" w:leader="dot" w:pos="9026"/>
            </w:tabs>
            <w:spacing w:before="120" w:after="60"/>
          </w:pPr>
          <w:hyperlink w:anchor="_Toc100068" w:history="1">
            <w:r>
              <w:rPr>
                <w:rStyle w:val="Hyperlink"/>
              </w:rPr>
              <w:t>13.5 Salary Slip</w:t>
            </w:r>
            <w:r>
              <w:tab/>
            </w:r>
            <w:r>
              <w:fldChar w:fldCharType="begin"/>
            </w:r>
            <w:r>
              <w:instrText xml:space="preserve"> PAGEREF _Toc100068 \h </w:instrText>
            </w:r>
            <w:r>
              <w:fldChar w:fldCharType="separate"/>
            </w:r>
            <w:r>
              <w:t>26</w:t>
            </w:r>
            <w:r>
              <w:fldChar w:fldCharType="end"/>
            </w:r>
          </w:hyperlink>
        </w:p>
        <w:p>
          <w:pPr>
            <w:pStyle w:val="11"/>
            <w:ind w:left="360"/>
            <w:tabs>
              <w:tab w:val="right" w:leader="dot" w:pos="9026"/>
            </w:tabs>
            <w:spacing w:before="120" w:after="60"/>
          </w:pPr>
          <w:hyperlink w:anchor="_Toc100069" w:history="1">
            <w:r>
              <w:rPr>
                <w:rStyle w:val="Hyperlink"/>
              </w:rPr>
              <w:t>13.6 Salary Reports</w:t>
            </w:r>
            <w:r>
              <w:tab/>
            </w:r>
            <w:r>
              <w:fldChar w:fldCharType="begin"/>
            </w:r>
            <w:r>
              <w:instrText xml:space="preserve"> PAGEREF _Toc100069 \h </w:instrText>
            </w:r>
            <w:r>
              <w:fldChar w:fldCharType="separate"/>
            </w:r>
            <w:r>
              <w:t>26</w:t>
            </w:r>
            <w:r>
              <w:fldChar w:fldCharType="end"/>
            </w:r>
          </w:hyperlink>
        </w:p>
        <w:p>
          <w:pPr>
            <w:pStyle w:val="9"/>
            <w:tabs>
              <w:tab w:val="right" w:leader="dot" w:pos="9026"/>
            </w:tabs>
            <w:spacing w:before="120" w:after="60"/>
          </w:pPr>
          <w:hyperlink w:anchor="_Toc100070" w:history="1">
            <w:r>
              <w:rPr>
                <w:rStyle w:val="Hyperlink"/>
              </w:rPr>
              <w:t>14. Module 9: Fee Management</w:t>
            </w:r>
            <w:r>
              <w:tab/>
            </w:r>
            <w:r>
              <w:fldChar w:fldCharType="begin"/>
            </w:r>
            <w:r>
              <w:instrText xml:space="preserve"> PAGEREF _Toc100070 \h </w:instrText>
            </w:r>
            <w:r>
              <w:fldChar w:fldCharType="separate"/>
            </w:r>
            <w:r>
              <w:t>27</w:t>
            </w:r>
            <w:r>
              <w:fldChar w:fldCharType="end"/>
            </w:r>
          </w:hyperlink>
        </w:p>
        <w:p>
          <w:pPr>
            <w:pStyle w:val="11"/>
            <w:ind w:left="360"/>
            <w:tabs>
              <w:tab w:val="right" w:leader="dot" w:pos="9026"/>
            </w:tabs>
            <w:spacing w:before="120" w:after="60"/>
          </w:pPr>
          <w:hyperlink w:anchor="_Toc100071" w:history="1">
            <w:r>
              <w:rPr>
                <w:rStyle w:val="Hyperlink"/>
              </w:rPr>
              <w:t>14.1 Fee Structure</w:t>
            </w:r>
            <w:r>
              <w:tab/>
            </w:r>
            <w:r>
              <w:fldChar w:fldCharType="begin"/>
            </w:r>
            <w:r>
              <w:instrText xml:space="preserve"> PAGEREF _Toc100071 \h </w:instrText>
            </w:r>
            <w:r>
              <w:fldChar w:fldCharType="separate"/>
            </w:r>
            <w:r>
              <w:t>27</w:t>
            </w:r>
            <w:r>
              <w:fldChar w:fldCharType="end"/>
            </w:r>
          </w:hyperlink>
        </w:p>
        <w:p>
          <w:pPr>
            <w:pStyle w:val="11"/>
            <w:ind w:left="360"/>
            <w:tabs>
              <w:tab w:val="right" w:leader="dot" w:pos="9026"/>
            </w:tabs>
            <w:spacing w:before="120" w:after="60"/>
          </w:pPr>
          <w:hyperlink w:anchor="_Toc100072" w:history="1">
            <w:r>
              <w:rPr>
                <w:rStyle w:val="Hyperlink"/>
              </w:rPr>
              <w:t>14.2 Fee Collection Workflow</w:t>
            </w:r>
            <w:r>
              <w:tab/>
            </w:r>
            <w:r>
              <w:fldChar w:fldCharType="begin"/>
            </w:r>
            <w:r>
              <w:instrText xml:space="preserve"> PAGEREF _Toc100072 \h </w:instrText>
            </w:r>
            <w:r>
              <w:fldChar w:fldCharType="separate"/>
            </w:r>
            <w:r>
              <w:t>27</w:t>
            </w:r>
            <w:r>
              <w:fldChar w:fldCharType="end"/>
            </w:r>
          </w:hyperlink>
        </w:p>
        <w:p>
          <w:pPr>
            <w:pStyle w:val="11"/>
            <w:ind w:left="360"/>
            <w:tabs>
              <w:tab w:val="right" w:leader="dot" w:pos="9026"/>
            </w:tabs>
            <w:spacing w:before="120" w:after="60"/>
          </w:pPr>
          <w:hyperlink w:anchor="_Toc100073" w:history="1">
            <w:r>
              <w:rPr>
                <w:rStyle w:val="Hyperlink"/>
              </w:rPr>
              <w:t>14.3 Fee Receipt</w:t>
            </w:r>
            <w:r>
              <w:tab/>
            </w:r>
            <w:r>
              <w:fldChar w:fldCharType="begin"/>
            </w:r>
            <w:r>
              <w:instrText xml:space="preserve"> PAGEREF _Toc100073 \h </w:instrText>
            </w:r>
            <w:r>
              <w:fldChar w:fldCharType="separate"/>
            </w:r>
            <w:r>
              <w:t>27</w:t>
            </w:r>
            <w:r>
              <w:fldChar w:fldCharType="end"/>
            </w:r>
          </w:hyperlink>
        </w:p>
        <w:p>
          <w:pPr>
            <w:pStyle w:val="11"/>
            <w:ind w:left="360"/>
            <w:tabs>
              <w:tab w:val="right" w:leader="dot" w:pos="9026"/>
            </w:tabs>
            <w:spacing w:before="120" w:after="60"/>
          </w:pPr>
          <w:hyperlink w:anchor="_Toc100074" w:history="1">
            <w:r>
              <w:rPr>
                <w:rStyle w:val="Hyperlink"/>
              </w:rPr>
              <w:t>14.4 Discounts &amp; Waivers</w:t>
            </w:r>
            <w:r>
              <w:tab/>
            </w:r>
            <w:r>
              <w:fldChar w:fldCharType="begin"/>
            </w:r>
            <w:r>
              <w:instrText xml:space="preserve"> PAGEREF _Toc100074 \h </w:instrText>
            </w:r>
            <w:r>
              <w:fldChar w:fldCharType="separate"/>
            </w:r>
            <w:r>
              <w:t>28</w:t>
            </w:r>
            <w:r>
              <w:fldChar w:fldCharType="end"/>
            </w:r>
          </w:hyperlink>
        </w:p>
        <w:p>
          <w:pPr>
            <w:pStyle w:val="11"/>
            <w:ind w:left="360"/>
            <w:tabs>
              <w:tab w:val="right" w:leader="dot" w:pos="9026"/>
            </w:tabs>
            <w:spacing w:before="120" w:after="60"/>
          </w:pPr>
          <w:hyperlink w:anchor="_Toc100075" w:history="1">
            <w:r>
              <w:rPr>
                <w:rStyle w:val="Hyperlink"/>
              </w:rPr>
              <w:t>14.5 Payment History</w:t>
            </w:r>
            <w:r>
              <w:tab/>
            </w:r>
            <w:r>
              <w:fldChar w:fldCharType="begin"/>
            </w:r>
            <w:r>
              <w:instrText xml:space="preserve"> PAGEREF _Toc100075 \h </w:instrText>
            </w:r>
            <w:r>
              <w:fldChar w:fldCharType="separate"/>
            </w:r>
            <w:r>
              <w:t>28</w:t>
            </w:r>
            <w:r>
              <w:fldChar w:fldCharType="end"/>
            </w:r>
          </w:hyperlink>
        </w:p>
        <w:p>
          <w:pPr>
            <w:pStyle w:val="11"/>
            <w:ind w:left="360"/>
            <w:tabs>
              <w:tab w:val="right" w:leader="dot" w:pos="9026"/>
            </w:tabs>
            <w:spacing w:before="120" w:after="60"/>
          </w:pPr>
          <w:hyperlink w:anchor="_Toc100076" w:history="1">
            <w:r>
              <w:rPr>
                <w:rStyle w:val="Hyperlink"/>
              </w:rPr>
              <w:t>14.6 Fee Settings</w:t>
            </w:r>
            <w:r>
              <w:tab/>
            </w:r>
            <w:r>
              <w:fldChar w:fldCharType="begin"/>
            </w:r>
            <w:r>
              <w:instrText xml:space="preserve"> PAGEREF _Toc100076 \h </w:instrText>
            </w:r>
            <w:r>
              <w:fldChar w:fldCharType="separate"/>
            </w:r>
            <w:r>
              <w:t>28</w:t>
            </w:r>
            <w:r>
              <w:fldChar w:fldCharType="end"/>
            </w:r>
          </w:hyperlink>
        </w:p>
        <w:p>
          <w:pPr>
            <w:pStyle w:val="9"/>
            <w:tabs>
              <w:tab w:val="right" w:leader="dot" w:pos="9026"/>
            </w:tabs>
            <w:spacing w:before="120" w:after="60"/>
          </w:pPr>
          <w:hyperlink w:anchor="_Toc100077" w:history="1">
            <w:r>
              <w:rPr>
                <w:rStyle w:val="Hyperlink"/>
              </w:rPr>
              <w:t>15. Module 10: Fee Defaulter Module</w:t>
            </w:r>
            <w:r>
              <w:tab/>
            </w:r>
            <w:r>
              <w:fldChar w:fldCharType="begin"/>
            </w:r>
            <w:r>
              <w:instrText xml:space="preserve"> PAGEREF _Toc100077 \h </w:instrText>
            </w:r>
            <w:r>
              <w:fldChar w:fldCharType="separate"/>
            </w:r>
            <w:r>
              <w:t>28</w:t>
            </w:r>
            <w:r>
              <w:fldChar w:fldCharType="end"/>
            </w:r>
          </w:hyperlink>
        </w:p>
        <w:p>
          <w:pPr>
            <w:pStyle w:val="11"/>
            <w:ind w:left="360"/>
            <w:tabs>
              <w:tab w:val="right" w:leader="dot" w:pos="9026"/>
            </w:tabs>
            <w:spacing w:before="120" w:after="60"/>
          </w:pPr>
          <w:hyperlink w:anchor="_Toc100078" w:history="1">
            <w:r>
              <w:rPr>
                <w:rStyle w:val="Hyperlink"/>
              </w:rPr>
              <w:t>15.1 Defaulter Detection Logic</w:t>
            </w:r>
            <w:r>
              <w:tab/>
            </w:r>
            <w:r>
              <w:fldChar w:fldCharType="begin"/>
            </w:r>
            <w:r>
              <w:instrText xml:space="preserve"> PAGEREF _Toc100078 \h </w:instrText>
            </w:r>
            <w:r>
              <w:fldChar w:fldCharType="separate"/>
            </w:r>
            <w:r>
              <w:t>29</w:t>
            </w:r>
            <w:r>
              <w:fldChar w:fldCharType="end"/>
            </w:r>
          </w:hyperlink>
        </w:p>
        <w:p>
          <w:pPr>
            <w:pStyle w:val="11"/>
            <w:ind w:left="360"/>
            <w:tabs>
              <w:tab w:val="right" w:leader="dot" w:pos="9026"/>
            </w:tabs>
            <w:spacing w:before="120" w:after="60"/>
          </w:pPr>
          <w:hyperlink w:anchor="_Toc100079" w:history="1">
            <w:r>
              <w:rPr>
                <w:rStyle w:val="Hyperlink"/>
              </w:rPr>
              <w:t>15.2 Defaulter List View</w:t>
            </w:r>
            <w:r>
              <w:tab/>
            </w:r>
            <w:r>
              <w:fldChar w:fldCharType="begin"/>
            </w:r>
            <w:r>
              <w:instrText xml:space="preserve"> PAGEREF _Toc100079 \h </w:instrText>
            </w:r>
            <w:r>
              <w:fldChar w:fldCharType="separate"/>
            </w:r>
            <w:r>
              <w:t>29</w:t>
            </w:r>
            <w:r>
              <w:fldChar w:fldCharType="end"/>
            </w:r>
          </w:hyperlink>
        </w:p>
        <w:p>
          <w:pPr>
            <w:pStyle w:val="11"/>
            <w:ind w:left="360"/>
            <w:tabs>
              <w:tab w:val="right" w:leader="dot" w:pos="9026"/>
            </w:tabs>
            <w:spacing w:before="120" w:after="60"/>
          </w:pPr>
          <w:hyperlink w:anchor="_Toc100080" w:history="1">
            <w:r>
              <w:rPr>
                <w:rStyle w:val="Hyperlink"/>
              </w:rPr>
              <w:t>15.3 Print &amp; Export</w:t>
            </w:r>
            <w:r>
              <w:tab/>
            </w:r>
            <w:r>
              <w:fldChar w:fldCharType="begin"/>
            </w:r>
            <w:r>
              <w:instrText xml:space="preserve"> PAGEREF _Toc100080 \h </w:instrText>
            </w:r>
            <w:r>
              <w:fldChar w:fldCharType="separate"/>
            </w:r>
            <w:r>
              <w:t>29</w:t>
            </w:r>
            <w:r>
              <w:fldChar w:fldCharType="end"/>
            </w:r>
          </w:hyperlink>
        </w:p>
        <w:p>
          <w:pPr>
            <w:pStyle w:val="11"/>
            <w:ind w:left="360"/>
            <w:tabs>
              <w:tab w:val="right" w:leader="dot" w:pos="9026"/>
            </w:tabs>
            <w:spacing w:before="120" w:after="60"/>
          </w:pPr>
          <w:hyperlink w:anchor="_Toc100081" w:history="1">
            <w:r>
              <w:rPr>
                <w:rStyle w:val="Hyperlink"/>
              </w:rPr>
              <w:t>15.4 Dashboard Integration</w:t>
            </w:r>
            <w:r>
              <w:tab/>
            </w:r>
            <w:r>
              <w:fldChar w:fldCharType="begin"/>
            </w:r>
            <w:r>
              <w:instrText xml:space="preserve"> PAGEREF _Toc100081 \h </w:instrText>
            </w:r>
            <w:r>
              <w:fldChar w:fldCharType="separate"/>
            </w:r>
            <w:r>
              <w:t>29</w:t>
            </w:r>
            <w:r>
              <w:fldChar w:fldCharType="end"/>
            </w:r>
          </w:hyperlink>
        </w:p>
        <w:p>
          <w:pPr>
            <w:pStyle w:val="9"/>
            <w:tabs>
              <w:tab w:val="right" w:leader="dot" w:pos="9026"/>
            </w:tabs>
            <w:spacing w:before="120" w:after="60"/>
          </w:pPr>
          <w:hyperlink w:anchor="_Toc100082" w:history="1">
            <w:r>
              <w:rPr>
                <w:rStyle w:val="Hyperlink"/>
              </w:rPr>
              <w:t>16. Module 11: Examination &amp; Results</w:t>
            </w:r>
            <w:r>
              <w:tab/>
            </w:r>
            <w:r>
              <w:fldChar w:fldCharType="begin"/>
            </w:r>
            <w:r>
              <w:instrText xml:space="preserve"> PAGEREF _Toc100082 \h </w:instrText>
            </w:r>
            <w:r>
              <w:fldChar w:fldCharType="separate"/>
            </w:r>
            <w:r>
              <w:t>30</w:t>
            </w:r>
            <w:r>
              <w:fldChar w:fldCharType="end"/>
            </w:r>
          </w:hyperlink>
        </w:p>
        <w:p>
          <w:pPr>
            <w:pStyle w:val="11"/>
            <w:ind w:left="360"/>
            <w:tabs>
              <w:tab w:val="right" w:leader="dot" w:pos="9026"/>
            </w:tabs>
            <w:spacing w:before="120" w:after="60"/>
          </w:pPr>
          <w:hyperlink w:anchor="_Toc100083" w:history="1">
            <w:r>
              <w:rPr>
                <w:rStyle w:val="Hyperlink"/>
              </w:rPr>
              <w:t>16.1 Create Exam</w:t>
            </w:r>
            <w:r>
              <w:tab/>
            </w:r>
            <w:r>
              <w:fldChar w:fldCharType="begin"/>
            </w:r>
            <w:r>
              <w:instrText xml:space="preserve"> PAGEREF _Toc100083 \h </w:instrText>
            </w:r>
            <w:r>
              <w:fldChar w:fldCharType="separate"/>
            </w:r>
            <w:r>
              <w:t>30</w:t>
            </w:r>
            <w:r>
              <w:fldChar w:fldCharType="end"/>
            </w:r>
          </w:hyperlink>
        </w:p>
        <w:p>
          <w:pPr>
            <w:pStyle w:val="11"/>
            <w:ind w:left="360"/>
            <w:tabs>
              <w:tab w:val="right" w:leader="dot" w:pos="9026"/>
            </w:tabs>
            <w:spacing w:before="120" w:after="60"/>
          </w:pPr>
          <w:hyperlink w:anchor="_Toc100084" w:history="1">
            <w:r>
              <w:rPr>
                <w:rStyle w:val="Hyperlink"/>
              </w:rPr>
              <w:t>16.2 Marks Entry</w:t>
            </w:r>
            <w:r>
              <w:tab/>
            </w:r>
            <w:r>
              <w:fldChar w:fldCharType="begin"/>
            </w:r>
            <w:r>
              <w:instrText xml:space="preserve"> PAGEREF _Toc100084 \h </w:instrText>
            </w:r>
            <w:r>
              <w:fldChar w:fldCharType="separate"/>
            </w:r>
            <w:r>
              <w:t>30</w:t>
            </w:r>
            <w:r>
              <w:fldChar w:fldCharType="end"/>
            </w:r>
          </w:hyperlink>
        </w:p>
        <w:p>
          <w:pPr>
            <w:pStyle w:val="11"/>
            <w:ind w:left="360"/>
            <w:tabs>
              <w:tab w:val="right" w:leader="dot" w:pos="9026"/>
            </w:tabs>
            <w:spacing w:before="120" w:after="60"/>
          </w:pPr>
          <w:hyperlink w:anchor="_Toc100085" w:history="1">
            <w:r>
              <w:rPr>
                <w:rStyle w:val="Hyperlink"/>
              </w:rPr>
              <w:t>16.3 Grade &amp; Position Calculation</w:t>
            </w:r>
            <w:r>
              <w:tab/>
            </w:r>
            <w:r>
              <w:fldChar w:fldCharType="begin"/>
            </w:r>
            <w:r>
              <w:instrText xml:space="preserve"> PAGEREF _Toc100085 \h </w:instrText>
            </w:r>
            <w:r>
              <w:fldChar w:fldCharType="separate"/>
            </w:r>
            <w:r>
              <w:t>30</w:t>
            </w:r>
            <w:r>
              <w:fldChar w:fldCharType="end"/>
            </w:r>
          </w:hyperlink>
        </w:p>
        <w:p>
          <w:pPr>
            <w:pStyle w:val="11"/>
            <w:ind w:left="360"/>
            <w:tabs>
              <w:tab w:val="right" w:leader="dot" w:pos="9026"/>
            </w:tabs>
            <w:spacing w:before="120" w:after="60"/>
          </w:pPr>
          <w:hyperlink w:anchor="_Toc100086" w:history="1">
            <w:r>
              <w:rPr>
                <w:rStyle w:val="Hyperlink"/>
              </w:rPr>
              <w:t>16.4 Result Card</w:t>
            </w:r>
            <w:r>
              <w:tab/>
            </w:r>
            <w:r>
              <w:fldChar w:fldCharType="begin"/>
            </w:r>
            <w:r>
              <w:instrText xml:space="preserve"> PAGEREF _Toc100086 \h </w:instrText>
            </w:r>
            <w:r>
              <w:fldChar w:fldCharType="separate"/>
            </w:r>
            <w:r>
              <w:t>31</w:t>
            </w:r>
            <w:r>
              <w:fldChar w:fldCharType="end"/>
            </w:r>
          </w:hyperlink>
        </w:p>
        <w:p>
          <w:pPr>
            <w:pStyle w:val="9"/>
            <w:tabs>
              <w:tab w:val="right" w:leader="dot" w:pos="9026"/>
            </w:tabs>
            <w:spacing w:before="120" w:after="60"/>
          </w:pPr>
          <w:hyperlink w:anchor="_Toc100087" w:history="1">
            <w:r>
              <w:rPr>
                <w:rStyle w:val="Hyperlink"/>
              </w:rPr>
              <w:t>17. Module 12: Certificate Module</w:t>
            </w:r>
            <w:r>
              <w:tab/>
            </w:r>
            <w:r>
              <w:fldChar w:fldCharType="begin"/>
            </w:r>
            <w:r>
              <w:instrText xml:space="preserve"> PAGEREF _Toc100087 \h </w:instrText>
            </w:r>
            <w:r>
              <w:fldChar w:fldCharType="separate"/>
            </w:r>
            <w:r>
              <w:t>31</w:t>
            </w:r>
            <w:r>
              <w:fldChar w:fldCharType="end"/>
            </w:r>
          </w:hyperlink>
        </w:p>
        <w:p>
          <w:pPr>
            <w:pStyle w:val="11"/>
            <w:ind w:left="360"/>
            <w:tabs>
              <w:tab w:val="right" w:leader="dot" w:pos="9026"/>
            </w:tabs>
            <w:spacing w:before="120" w:after="60"/>
          </w:pPr>
          <w:hyperlink w:anchor="_Toc100088" w:history="1">
            <w:r>
              <w:rPr>
                <w:rStyle w:val="Hyperlink"/>
              </w:rPr>
              <w:t>17.1 Certificate Templates</w:t>
            </w:r>
            <w:r>
              <w:tab/>
            </w:r>
            <w:r>
              <w:fldChar w:fldCharType="begin"/>
            </w:r>
            <w:r>
              <w:instrText xml:space="preserve"> PAGEREF _Toc100088 \h </w:instrText>
            </w:r>
            <w:r>
              <w:fldChar w:fldCharType="separate"/>
            </w:r>
            <w:r>
              <w:t>31</w:t>
            </w:r>
            <w:r>
              <w:fldChar w:fldCharType="end"/>
            </w:r>
          </w:hyperlink>
        </w:p>
        <w:p>
          <w:pPr>
            <w:pStyle w:val="11"/>
            <w:ind w:left="360"/>
            <w:tabs>
              <w:tab w:val="right" w:leader="dot" w:pos="9026"/>
            </w:tabs>
            <w:spacing w:before="120" w:after="60"/>
          </w:pPr>
          <w:hyperlink w:anchor="_Toc100089" w:history="1">
            <w:r>
              <w:rPr>
                <w:rStyle w:val="Hyperlink"/>
              </w:rPr>
              <w:t>17.2 School Leaving Certificate</w:t>
            </w:r>
            <w:r>
              <w:tab/>
            </w:r>
            <w:r>
              <w:fldChar w:fldCharType="begin"/>
            </w:r>
            <w:r>
              <w:instrText xml:space="preserve"> PAGEREF _Toc100089 \h </w:instrText>
            </w:r>
            <w:r>
              <w:fldChar w:fldCharType="separate"/>
            </w:r>
            <w:r>
              <w:t>31</w:t>
            </w:r>
            <w:r>
              <w:fldChar w:fldCharType="end"/>
            </w:r>
          </w:hyperlink>
        </w:p>
        <w:p>
          <w:pPr>
            <w:pStyle w:val="11"/>
            <w:ind w:left="360"/>
            <w:tabs>
              <w:tab w:val="right" w:leader="dot" w:pos="9026"/>
            </w:tabs>
            <w:spacing w:before="120" w:after="60"/>
          </w:pPr>
          <w:hyperlink w:anchor="_Toc100090" w:history="1">
            <w:r>
              <w:rPr>
                <w:rStyle w:val="Hyperlink"/>
              </w:rPr>
              <w:t>17.3 Character Certificate</w:t>
            </w:r>
            <w:r>
              <w:tab/>
            </w:r>
            <w:r>
              <w:fldChar w:fldCharType="begin"/>
            </w:r>
            <w:r>
              <w:instrText xml:space="preserve"> PAGEREF _Toc100090 \h </w:instrText>
            </w:r>
            <w:r>
              <w:fldChar w:fldCharType="separate"/>
            </w:r>
            <w:r>
              <w:t>32</w:t>
            </w:r>
            <w:r>
              <w:fldChar w:fldCharType="end"/>
            </w:r>
          </w:hyperlink>
        </w:p>
        <w:p>
          <w:pPr>
            <w:pStyle w:val="11"/>
            <w:ind w:left="360"/>
            <w:tabs>
              <w:tab w:val="right" w:leader="dot" w:pos="9026"/>
            </w:tabs>
            <w:spacing w:before="120" w:after="60"/>
          </w:pPr>
          <w:hyperlink w:anchor="_Toc100091" w:history="1">
            <w:r>
              <w:rPr>
                <w:rStyle w:val="Hyperlink"/>
              </w:rPr>
              <w:t>17.4 Bonafide Certificate</w:t>
            </w:r>
            <w:r>
              <w:tab/>
            </w:r>
            <w:r>
              <w:fldChar w:fldCharType="begin"/>
            </w:r>
            <w:r>
              <w:instrText xml:space="preserve"> PAGEREF _Toc100091 \h </w:instrText>
            </w:r>
            <w:r>
              <w:fldChar w:fldCharType="separate"/>
            </w:r>
            <w:r>
              <w:t>32</w:t>
            </w:r>
            <w:r>
              <w:fldChar w:fldCharType="end"/>
            </w:r>
          </w:hyperlink>
        </w:p>
        <w:p>
          <w:pPr>
            <w:pStyle w:val="11"/>
            <w:ind w:left="360"/>
            <w:tabs>
              <w:tab w:val="right" w:leader="dot" w:pos="9026"/>
            </w:tabs>
            <w:spacing w:before="120" w:after="60"/>
          </w:pPr>
          <w:hyperlink w:anchor="_Toc100092" w:history="1">
            <w:r>
              <w:rPr>
                <w:rStyle w:val="Hyperlink"/>
              </w:rPr>
              <w:t>17.5 Fee Paid Certificate</w:t>
            </w:r>
            <w:r>
              <w:tab/>
            </w:r>
            <w:r>
              <w:fldChar w:fldCharType="begin"/>
            </w:r>
            <w:r>
              <w:instrText xml:space="preserve"> PAGEREF _Toc100092 \h </w:instrText>
            </w:r>
            <w:r>
              <w:fldChar w:fldCharType="separate"/>
            </w:r>
            <w:r>
              <w:t>32</w:t>
            </w:r>
            <w:r>
              <w:fldChar w:fldCharType="end"/>
            </w:r>
          </w:hyperlink>
        </w:p>
        <w:p>
          <w:pPr>
            <w:pStyle w:val="11"/>
            <w:ind w:left="360"/>
            <w:tabs>
              <w:tab w:val="right" w:leader="dot" w:pos="9026"/>
            </w:tabs>
            <w:spacing w:before="120" w:after="60"/>
          </w:pPr>
          <w:hyperlink w:anchor="_Toc100093" w:history="1">
            <w:r>
              <w:rPr>
                <w:rStyle w:val="Hyperlink"/>
              </w:rPr>
              <w:t>17.6 Certificate Numbering</w:t>
            </w:r>
            <w:r>
              <w:tab/>
            </w:r>
            <w:r>
              <w:fldChar w:fldCharType="begin"/>
            </w:r>
            <w:r>
              <w:instrText xml:space="preserve"> PAGEREF _Toc100093 \h </w:instrText>
            </w:r>
            <w:r>
              <w:fldChar w:fldCharType="separate"/>
            </w:r>
            <w:r>
              <w:t>32</w:t>
            </w:r>
            <w:r>
              <w:fldChar w:fldCharType="end"/>
            </w:r>
          </w:hyperlink>
        </w:p>
        <w:p>
          <w:pPr>
            <w:pStyle w:val="9"/>
            <w:tabs>
              <w:tab w:val="right" w:leader="dot" w:pos="9026"/>
            </w:tabs>
            <w:spacing w:before="120" w:after="60"/>
          </w:pPr>
          <w:hyperlink w:anchor="_Toc100094" w:history="1">
            <w:r>
              <w:rPr>
                <w:rStyle w:val="Hyperlink"/>
              </w:rPr>
              <w:t>18. Module 13: Reports</w:t>
            </w:r>
            <w:r>
              <w:tab/>
            </w:r>
            <w:r>
              <w:fldChar w:fldCharType="begin"/>
            </w:r>
            <w:r>
              <w:instrText xml:space="preserve"> PAGEREF _Toc100094 \h </w:instrText>
            </w:r>
            <w:r>
              <w:fldChar w:fldCharType="separate"/>
            </w:r>
            <w:r>
              <w:t>33</w:t>
            </w:r>
            <w:r>
              <w:fldChar w:fldCharType="end"/>
            </w:r>
          </w:hyperlink>
        </w:p>
        <w:p>
          <w:pPr>
            <w:pStyle w:val="11"/>
            <w:ind w:left="360"/>
            <w:tabs>
              <w:tab w:val="right" w:leader="dot" w:pos="9026"/>
            </w:tabs>
            <w:spacing w:before="120" w:after="60"/>
          </w:pPr>
          <w:hyperlink w:anchor="_Toc100095" w:history="1">
            <w:r>
              <w:rPr>
                <w:rStyle w:val="Hyperlink"/>
              </w:rPr>
              <w:t>18.1 Report Generation Architecture</w:t>
            </w:r>
            <w:r>
              <w:tab/>
            </w:r>
            <w:r>
              <w:fldChar w:fldCharType="begin"/>
            </w:r>
            <w:r>
              <w:instrText xml:space="preserve"> PAGEREF _Toc100095 \h </w:instrText>
            </w:r>
            <w:r>
              <w:fldChar w:fldCharType="separate"/>
            </w:r>
            <w:r>
              <w:t>33</w:t>
            </w:r>
            <w:r>
              <w:fldChar w:fldCharType="end"/>
            </w:r>
          </w:hyperlink>
        </w:p>
        <w:p>
          <w:pPr>
            <w:pStyle w:val="11"/>
            <w:ind w:left="360"/>
            <w:tabs>
              <w:tab w:val="right" w:leader="dot" w:pos="9026"/>
            </w:tabs>
            <w:spacing w:before="120" w:after="60"/>
          </w:pPr>
          <w:hyperlink w:anchor="_Toc100096" w:history="1">
            <w:r>
              <w:rPr>
                <w:rStyle w:val="Hyperlink"/>
              </w:rPr>
              <w:t>18.2 Monthly Summary Report</w:t>
            </w:r>
            <w:r>
              <w:tab/>
            </w:r>
            <w:r>
              <w:fldChar w:fldCharType="begin"/>
            </w:r>
            <w:r>
              <w:instrText xml:space="preserve"> PAGEREF _Toc100096 \h </w:instrText>
            </w:r>
            <w:r>
              <w:fldChar w:fldCharType="separate"/>
            </w:r>
            <w:r>
              <w:t>33</w:t>
            </w:r>
            <w:r>
              <w:fldChar w:fldCharType="end"/>
            </w:r>
          </w:hyperlink>
        </w:p>
        <w:p>
          <w:pPr>
            <w:pStyle w:val="9"/>
            <w:tabs>
              <w:tab w:val="right" w:leader="dot" w:pos="9026"/>
            </w:tabs>
            <w:spacing w:before="120" w:after="60"/>
          </w:pPr>
          <w:hyperlink w:anchor="_Toc100097" w:history="1">
            <w:r>
              <w:rPr>
                <w:rStyle w:val="Hyperlink"/>
              </w:rPr>
              <w:t>19. Module 14: Analytics</w:t>
            </w:r>
            <w:r>
              <w:tab/>
            </w:r>
            <w:r>
              <w:fldChar w:fldCharType="begin"/>
            </w:r>
            <w:r>
              <w:instrText xml:space="preserve"> PAGEREF _Toc100097 \h </w:instrText>
            </w:r>
            <w:r>
              <w:fldChar w:fldCharType="separate"/>
            </w:r>
            <w:r>
              <w:t>34</w:t>
            </w:r>
            <w:r>
              <w:fldChar w:fldCharType="end"/>
            </w:r>
          </w:hyperlink>
        </w:p>
        <w:p>
          <w:pPr>
            <w:pStyle w:val="11"/>
            <w:ind w:left="360"/>
            <w:tabs>
              <w:tab w:val="right" w:leader="dot" w:pos="9026"/>
            </w:tabs>
            <w:spacing w:before="120" w:after="60"/>
          </w:pPr>
          <w:hyperlink w:anchor="_Toc100098" w:history="1">
            <w:r>
              <w:rPr>
                <w:rStyle w:val="Hyperlink"/>
              </w:rPr>
              <w:t>19.1 Student Growth Trend</w:t>
            </w:r>
            <w:r>
              <w:tab/>
            </w:r>
            <w:r>
              <w:fldChar w:fldCharType="begin"/>
            </w:r>
            <w:r>
              <w:instrText xml:space="preserve"> PAGEREF _Toc100098 \h </w:instrText>
            </w:r>
            <w:r>
              <w:fldChar w:fldCharType="separate"/>
            </w:r>
            <w:r>
              <w:t>34</w:t>
            </w:r>
            <w:r>
              <w:fldChar w:fldCharType="end"/>
            </w:r>
          </w:hyperlink>
        </w:p>
        <w:p>
          <w:pPr>
            <w:pStyle w:val="11"/>
            <w:ind w:left="360"/>
            <w:tabs>
              <w:tab w:val="right" w:leader="dot" w:pos="9026"/>
            </w:tabs>
            <w:spacing w:before="120" w:after="60"/>
          </w:pPr>
          <w:hyperlink w:anchor="_Toc100099" w:history="1">
            <w:r>
              <w:rPr>
                <w:rStyle w:val="Hyperlink"/>
              </w:rPr>
              <w:t>19.2 Fee Collection Trend</w:t>
            </w:r>
            <w:r>
              <w:tab/>
            </w:r>
            <w:r>
              <w:fldChar w:fldCharType="begin"/>
            </w:r>
            <w:r>
              <w:instrText xml:space="preserve"> PAGEREF _Toc100099 \h </w:instrText>
            </w:r>
            <w:r>
              <w:fldChar w:fldCharType="separate"/>
            </w:r>
            <w:r>
              <w:t>34</w:t>
            </w:r>
            <w:r>
              <w:fldChar w:fldCharType="end"/>
            </w:r>
          </w:hyperlink>
        </w:p>
        <w:p>
          <w:pPr>
            <w:pStyle w:val="11"/>
            <w:ind w:left="360"/>
            <w:tabs>
              <w:tab w:val="right" w:leader="dot" w:pos="9026"/>
            </w:tabs>
            <w:spacing w:before="120" w:after="60"/>
          </w:pPr>
          <w:hyperlink w:anchor="_Toc100100" w:history="1">
            <w:r>
              <w:rPr>
                <w:rStyle w:val="Hyperlink"/>
              </w:rPr>
              <w:t>19.3 Monthly Income</w:t>
            </w:r>
            <w:r>
              <w:tab/>
            </w:r>
            <w:r>
              <w:fldChar w:fldCharType="begin"/>
            </w:r>
            <w:r>
              <w:instrText xml:space="preserve"> PAGEREF _Toc100100 \h </w:instrText>
            </w:r>
            <w:r>
              <w:fldChar w:fldCharType="separate"/>
            </w:r>
            <w:r>
              <w:t>34</w:t>
            </w:r>
            <w:r>
              <w:fldChar w:fldCharType="end"/>
            </w:r>
          </w:hyperlink>
        </w:p>
        <w:p>
          <w:pPr>
            <w:pStyle w:val="11"/>
            <w:ind w:left="360"/>
            <w:tabs>
              <w:tab w:val="right" w:leader="dot" w:pos="9026"/>
            </w:tabs>
            <w:spacing w:before="120" w:after="60"/>
          </w:pPr>
          <w:hyperlink w:anchor="_Toc100101" w:history="1">
            <w:r>
              <w:rPr>
                <w:rStyle w:val="Hyperlink"/>
              </w:rPr>
              <w:t>19.4 Teacher Attendance Statistics</w:t>
            </w:r>
            <w:r>
              <w:tab/>
            </w:r>
            <w:r>
              <w:fldChar w:fldCharType="begin"/>
            </w:r>
            <w:r>
              <w:instrText xml:space="preserve"> PAGEREF _Toc100101 \h </w:instrText>
            </w:r>
            <w:r>
              <w:fldChar w:fldCharType="separate"/>
            </w:r>
            <w:r>
              <w:t>35</w:t>
            </w:r>
            <w:r>
              <w:fldChar w:fldCharType="end"/>
            </w:r>
          </w:hyperlink>
        </w:p>
        <w:p>
          <w:pPr>
            <w:pStyle w:val="11"/>
            <w:ind w:left="360"/>
            <w:tabs>
              <w:tab w:val="right" w:leader="dot" w:pos="9026"/>
            </w:tabs>
            <w:spacing w:before="120" w:after="60"/>
          </w:pPr>
          <w:hyperlink w:anchor="_Toc100102" w:history="1">
            <w:r>
              <w:rPr>
                <w:rStyle w:val="Hyperlink"/>
              </w:rPr>
              <w:t>19.5 Student Attendance Statistics</w:t>
            </w:r>
            <w:r>
              <w:tab/>
            </w:r>
            <w:r>
              <w:fldChar w:fldCharType="begin"/>
            </w:r>
            <w:r>
              <w:instrText xml:space="preserve"> PAGEREF _Toc100102 \h </w:instrText>
            </w:r>
            <w:r>
              <w:fldChar w:fldCharType="separate"/>
            </w:r>
            <w:r>
              <w:t>35</w:t>
            </w:r>
            <w:r>
              <w:fldChar w:fldCharType="end"/>
            </w:r>
          </w:hyperlink>
        </w:p>
        <w:p>
          <w:pPr>
            <w:pStyle w:val="11"/>
            <w:ind w:left="360"/>
            <w:tabs>
              <w:tab w:val="right" w:leader="dot" w:pos="9026"/>
            </w:tabs>
            <w:spacing w:before="120" w:after="60"/>
          </w:pPr>
          <w:hyperlink w:anchor="_Toc100103" w:history="1">
            <w:r>
              <w:rPr>
                <w:rStyle w:val="Hyperlink"/>
              </w:rPr>
              <w:t>19.6 Salary Expense Breakdown</w:t>
            </w:r>
            <w:r>
              <w:tab/>
            </w:r>
            <w:r>
              <w:fldChar w:fldCharType="begin"/>
            </w:r>
            <w:r>
              <w:instrText xml:space="preserve"> PAGEREF _Toc100103 \h </w:instrText>
            </w:r>
            <w:r>
              <w:fldChar w:fldCharType="separate"/>
            </w:r>
            <w:r>
              <w:t>35</w:t>
            </w:r>
            <w:r>
              <w:fldChar w:fldCharType="end"/>
            </w:r>
          </w:hyperlink>
        </w:p>
        <w:p>
          <w:pPr>
            <w:pStyle w:val="11"/>
            <w:ind w:left="360"/>
            <w:tabs>
              <w:tab w:val="right" w:leader="dot" w:pos="9026"/>
            </w:tabs>
            <w:spacing w:before="120" w:after="60"/>
          </w:pPr>
          <w:hyperlink w:anchor="_Toc100104" w:history="1">
            <w:r>
              <w:rPr>
                <w:rStyle w:val="Hyperlink"/>
              </w:rPr>
              <w:t>19.7 Monthly Profit &amp; Loss Summary</w:t>
            </w:r>
            <w:r>
              <w:tab/>
            </w:r>
            <w:r>
              <w:fldChar w:fldCharType="begin"/>
            </w:r>
            <w:r>
              <w:instrText xml:space="preserve"> PAGEREF _Toc100104 \h </w:instrText>
            </w:r>
            <w:r>
              <w:fldChar w:fldCharType="separate"/>
            </w:r>
            <w:r>
              <w:t>35</w:t>
            </w:r>
            <w:r>
              <w:fldChar w:fldCharType="end"/>
            </w:r>
          </w:hyperlink>
        </w:p>
        <w:p>
          <w:pPr>
            <w:pStyle w:val="9"/>
            <w:tabs>
              <w:tab w:val="right" w:leader="dot" w:pos="9026"/>
            </w:tabs>
            <w:spacing w:before="120" w:after="60"/>
          </w:pPr>
          <w:hyperlink w:anchor="_Toc100105" w:history="1">
            <w:r>
              <w:rPr>
                <w:rStyle w:val="Hyperlink"/>
              </w:rPr>
              <w:t>20. Module 15: User Management &amp; Permissions</w:t>
            </w:r>
            <w:r>
              <w:tab/>
            </w:r>
            <w:r>
              <w:fldChar w:fldCharType="begin"/>
            </w:r>
            <w:r>
              <w:instrText xml:space="preserve"> PAGEREF _Toc100105 \h </w:instrText>
            </w:r>
            <w:r>
              <w:fldChar w:fldCharType="separate"/>
            </w:r>
            <w:r>
              <w:t>36</w:t>
            </w:r>
            <w:r>
              <w:fldChar w:fldCharType="end"/>
            </w:r>
          </w:hyperlink>
        </w:p>
        <w:p>
          <w:pPr>
            <w:pStyle w:val="11"/>
            <w:ind w:left="360"/>
            <w:tabs>
              <w:tab w:val="right" w:leader="dot" w:pos="9026"/>
            </w:tabs>
            <w:spacing w:before="120" w:after="60"/>
          </w:pPr>
          <w:hyperlink w:anchor="_Toc100106" w:history="1">
            <w:r>
              <w:rPr>
                <w:rStyle w:val="Hyperlink"/>
              </w:rPr>
              <w:t>20.1 User Account CRUD</w:t>
            </w:r>
            <w:r>
              <w:tab/>
            </w:r>
            <w:r>
              <w:fldChar w:fldCharType="begin"/>
            </w:r>
            <w:r>
              <w:instrText xml:space="preserve"> PAGEREF _Toc100106 \h </w:instrText>
            </w:r>
            <w:r>
              <w:fldChar w:fldCharType="separate"/>
            </w:r>
            <w:r>
              <w:t>36</w:t>
            </w:r>
            <w:r>
              <w:fldChar w:fldCharType="end"/>
            </w:r>
          </w:hyperlink>
        </w:p>
        <w:p>
          <w:pPr>
            <w:pStyle w:val="11"/>
            <w:ind w:left="360"/>
            <w:tabs>
              <w:tab w:val="right" w:leader="dot" w:pos="9026"/>
            </w:tabs>
            <w:spacing w:before="120" w:after="60"/>
          </w:pPr>
          <w:hyperlink w:anchor="_Toc100107" w:history="1">
            <w:r>
              <w:rPr>
                <w:rStyle w:val="Hyperlink"/>
              </w:rPr>
              <w:t>20.2 Password Policy</w:t>
            </w:r>
            <w:r>
              <w:tab/>
            </w:r>
            <w:r>
              <w:fldChar w:fldCharType="begin"/>
            </w:r>
            <w:r>
              <w:instrText xml:space="preserve"> PAGEREF _Toc100107 \h </w:instrText>
            </w:r>
            <w:r>
              <w:fldChar w:fldCharType="separate"/>
            </w:r>
            <w:r>
              <w:t>36</w:t>
            </w:r>
            <w:r>
              <w:fldChar w:fldCharType="end"/>
            </w:r>
          </w:hyperlink>
        </w:p>
        <w:p>
          <w:pPr>
            <w:pStyle w:val="11"/>
            <w:ind w:left="360"/>
            <w:tabs>
              <w:tab w:val="right" w:leader="dot" w:pos="9026"/>
            </w:tabs>
            <w:spacing w:before="120" w:after="60"/>
          </w:pPr>
          <w:hyperlink w:anchor="_Toc100108" w:history="1">
            <w:r>
              <w:rPr>
                <w:rStyle w:val="Hyperlink"/>
              </w:rPr>
              <w:t>20.3 Session Management</w:t>
            </w:r>
            <w:r>
              <w:tab/>
            </w:r>
            <w:r>
              <w:fldChar w:fldCharType="begin"/>
            </w:r>
            <w:r>
              <w:instrText xml:space="preserve"> PAGEREF _Toc100108 \h </w:instrText>
            </w:r>
            <w:r>
              <w:fldChar w:fldCharType="separate"/>
            </w:r>
            <w:r>
              <w:t>36</w:t>
            </w:r>
            <w:r>
              <w:fldChar w:fldCharType="end"/>
            </w:r>
          </w:hyperlink>
        </w:p>
        <w:p>
          <w:pPr>
            <w:pStyle w:val="11"/>
            <w:ind w:left="360"/>
            <w:tabs>
              <w:tab w:val="right" w:leader="dot" w:pos="9026"/>
            </w:tabs>
            <w:spacing w:before="120" w:after="60"/>
          </w:pPr>
          <w:hyperlink w:anchor="_Toc100109" w:history="1">
            <w:r>
              <w:rPr>
                <w:rStyle w:val="Hyperlink"/>
              </w:rPr>
              <w:t>20.4 Activity Log</w:t>
            </w:r>
            <w:r>
              <w:tab/>
            </w:r>
            <w:r>
              <w:fldChar w:fldCharType="begin"/>
            </w:r>
            <w:r>
              <w:instrText xml:space="preserve"> PAGEREF _Toc100109 \h </w:instrText>
            </w:r>
            <w:r>
              <w:fldChar w:fldCharType="separate"/>
            </w:r>
            <w:r>
              <w:t>37</w:t>
            </w:r>
            <w:r>
              <w:fldChar w:fldCharType="end"/>
            </w:r>
          </w:hyperlink>
        </w:p>
        <w:p>
          <w:pPr>
            <w:pStyle w:val="9"/>
            <w:tabs>
              <w:tab w:val="right" w:leader="dot" w:pos="9026"/>
            </w:tabs>
            <w:spacing w:before="120" w:after="60"/>
          </w:pPr>
          <w:hyperlink w:anchor="_Toc100110" w:history="1">
            <w:r>
              <w:rPr>
                <w:rStyle w:val="Hyperlink"/>
              </w:rPr>
              <w:t>21. Module 16: Settings</w:t>
            </w:r>
            <w:r>
              <w:tab/>
            </w:r>
            <w:r>
              <w:fldChar w:fldCharType="begin"/>
            </w:r>
            <w:r>
              <w:instrText xml:space="preserve"> PAGEREF _Toc100110 \h </w:instrText>
            </w:r>
            <w:r>
              <w:fldChar w:fldCharType="separate"/>
            </w:r>
            <w:r>
              <w:t>37</w:t>
            </w:r>
            <w:r>
              <w:fldChar w:fldCharType="end"/>
            </w:r>
          </w:hyperlink>
        </w:p>
        <w:p>
          <w:pPr>
            <w:pStyle w:val="11"/>
            <w:ind w:left="360"/>
            <w:tabs>
              <w:tab w:val="right" w:leader="dot" w:pos="9026"/>
            </w:tabs>
            <w:spacing w:before="120" w:after="60"/>
          </w:pPr>
          <w:hyperlink w:anchor="_Toc100111" w:history="1">
            <w:r>
              <w:rPr>
                <w:rStyle w:val="Hyperlink"/>
              </w:rPr>
              <w:t>21.1 School Information</w:t>
            </w:r>
            <w:r>
              <w:tab/>
            </w:r>
            <w:r>
              <w:fldChar w:fldCharType="begin"/>
            </w:r>
            <w:r>
              <w:instrText xml:space="preserve"> PAGEREF _Toc100111 \h </w:instrText>
            </w:r>
            <w:r>
              <w:fldChar w:fldCharType="separate"/>
            </w:r>
            <w:r>
              <w:t>37</w:t>
            </w:r>
            <w:r>
              <w:fldChar w:fldCharType="end"/>
            </w:r>
          </w:hyperlink>
        </w:p>
        <w:p>
          <w:pPr>
            <w:pStyle w:val="11"/>
            <w:ind w:left="360"/>
            <w:tabs>
              <w:tab w:val="right" w:leader="dot" w:pos="9026"/>
            </w:tabs>
            <w:spacing w:before="120" w:after="60"/>
          </w:pPr>
          <w:hyperlink w:anchor="_Toc100112" w:history="1">
            <w:r>
              <w:rPr>
                <w:rStyle w:val="Hyperlink"/>
              </w:rPr>
              <w:t>21.2 Fine Rules</w:t>
            </w:r>
            <w:r>
              <w:tab/>
            </w:r>
            <w:r>
              <w:fldChar w:fldCharType="begin"/>
            </w:r>
            <w:r>
              <w:instrText xml:space="preserve"> PAGEREF _Toc100112 \h </w:instrText>
            </w:r>
            <w:r>
              <w:fldChar w:fldCharType="separate"/>
            </w:r>
            <w:r>
              <w:t>37</w:t>
            </w:r>
            <w:r>
              <w:fldChar w:fldCharType="end"/>
            </w:r>
          </w:hyperlink>
        </w:p>
        <w:p>
          <w:pPr>
            <w:pStyle w:val="11"/>
            <w:ind w:left="360"/>
            <w:tabs>
              <w:tab w:val="right" w:leader="dot" w:pos="9026"/>
            </w:tabs>
            <w:spacing w:before="120" w:after="60"/>
          </w:pPr>
          <w:hyperlink w:anchor="_Toc100113" w:history="1">
            <w:r>
              <w:rPr>
                <w:rStyle w:val="Hyperlink"/>
              </w:rPr>
              <w:t>21.3 Fee Settings</w:t>
            </w:r>
            <w:r>
              <w:tab/>
            </w:r>
            <w:r>
              <w:fldChar w:fldCharType="begin"/>
            </w:r>
            <w:r>
              <w:instrText xml:space="preserve"> PAGEREF _Toc100113 \h </w:instrText>
            </w:r>
            <w:r>
              <w:fldChar w:fldCharType="separate"/>
            </w:r>
            <w:r>
              <w:t>38</w:t>
            </w:r>
            <w:r>
              <w:fldChar w:fldCharType="end"/>
            </w:r>
          </w:hyperlink>
        </w:p>
        <w:p>
          <w:pPr>
            <w:pStyle w:val="11"/>
            <w:ind w:left="360"/>
            <w:tabs>
              <w:tab w:val="right" w:leader="dot" w:pos="9026"/>
            </w:tabs>
            <w:spacing w:before="120" w:after="60"/>
          </w:pPr>
          <w:hyperlink w:anchor="_Toc100114" w:history="1">
            <w:r>
              <w:rPr>
                <w:rStyle w:val="Hyperlink"/>
              </w:rPr>
              <w:t>21.4 User Accounts</w:t>
            </w:r>
            <w:r>
              <w:tab/>
            </w:r>
            <w:r>
              <w:fldChar w:fldCharType="begin"/>
            </w:r>
            <w:r>
              <w:instrText xml:space="preserve"> PAGEREF _Toc100114 \h </w:instrText>
            </w:r>
            <w:r>
              <w:fldChar w:fldCharType="separate"/>
            </w:r>
            <w:r>
              <w:t>38</w:t>
            </w:r>
            <w:r>
              <w:fldChar w:fldCharType="end"/>
            </w:r>
          </w:hyperlink>
        </w:p>
        <w:p>
          <w:pPr>
            <w:pStyle w:val="11"/>
            <w:ind w:left="360"/>
            <w:tabs>
              <w:tab w:val="right" w:leader="dot" w:pos="9026"/>
            </w:tabs>
            <w:spacing w:before="120" w:after="60"/>
          </w:pPr>
          <w:hyperlink w:anchor="_Toc100115" w:history="1">
            <w:r>
              <w:rPr>
                <w:rStyle w:val="Hyperlink"/>
              </w:rPr>
              <w:t>21.5 Backup &amp; Restore</w:t>
            </w:r>
            <w:r>
              <w:tab/>
            </w:r>
            <w:r>
              <w:fldChar w:fldCharType="begin"/>
            </w:r>
            <w:r>
              <w:instrText xml:space="preserve"> PAGEREF _Toc100115 \h </w:instrText>
            </w:r>
            <w:r>
              <w:fldChar w:fldCharType="separate"/>
            </w:r>
            <w:r>
              <w:t>38</w:t>
            </w:r>
            <w:r>
              <w:fldChar w:fldCharType="end"/>
            </w:r>
          </w:hyperlink>
        </w:p>
        <w:p>
          <w:pPr>
            <w:pStyle w:val="11"/>
            <w:ind w:left="360"/>
            <w:tabs>
              <w:tab w:val="right" w:leader="dot" w:pos="9026"/>
            </w:tabs>
            <w:spacing w:before="120" w:after="60"/>
          </w:pPr>
          <w:hyperlink w:anchor="_Toc100116" w:history="1">
            <w:r>
              <w:rPr>
                <w:rStyle w:val="Hyperlink"/>
              </w:rPr>
              <w:t>21.6 Appearance &amp; Localization</w:t>
            </w:r>
            <w:r>
              <w:tab/>
            </w:r>
            <w:r>
              <w:fldChar w:fldCharType="begin"/>
            </w:r>
            <w:r>
              <w:instrText xml:space="preserve"> PAGEREF _Toc100116 \h </w:instrText>
            </w:r>
            <w:r>
              <w:fldChar w:fldCharType="separate"/>
            </w:r>
            <w:r>
              <w:t>38</w:t>
            </w:r>
            <w:r>
              <w:fldChar w:fldCharType="end"/>
            </w:r>
          </w:hyperlink>
        </w:p>
        <w:p>
          <w:pPr>
            <w:pStyle w:val="9"/>
            <w:tabs>
              <w:tab w:val="right" w:leader="dot" w:pos="9026"/>
            </w:tabs>
            <w:spacing w:before="120" w:after="60"/>
          </w:pPr>
          <w:hyperlink w:anchor="_Toc100117" w:history="1">
            <w:r>
              <w:rPr>
                <w:rStyle w:val="Hyperlink"/>
              </w:rPr>
              <w:t>22. Extra Features</w:t>
            </w:r>
            <w:r>
              <w:tab/>
            </w:r>
            <w:r>
              <w:fldChar w:fldCharType="begin"/>
            </w:r>
            <w:r>
              <w:instrText xml:space="preserve"> PAGEREF _Toc100117 \h </w:instrText>
            </w:r>
            <w:r>
              <w:fldChar w:fldCharType="separate"/>
            </w:r>
            <w:r>
              <w:t>39</w:t>
            </w:r>
            <w:r>
              <w:fldChar w:fldCharType="end"/>
            </w:r>
          </w:hyperlink>
        </w:p>
        <w:p>
          <w:pPr>
            <w:pStyle w:val="9"/>
            <w:tabs>
              <w:tab w:val="right" w:leader="dot" w:pos="9026"/>
            </w:tabs>
            <w:spacing w:before="120" w:after="60"/>
          </w:pPr>
          <w:hyperlink w:anchor="_Toc100118" w:history="1">
            <w:r>
              <w:rPr>
                <w:rStyle w:val="Hyperlink"/>
              </w:rPr>
              <w:t>23. Non-Functional Requirements</w:t>
            </w:r>
            <w:r>
              <w:tab/>
            </w:r>
            <w:r>
              <w:fldChar w:fldCharType="begin"/>
            </w:r>
            <w:r>
              <w:instrText xml:space="preserve"> PAGEREF _Toc100118 \h </w:instrText>
            </w:r>
            <w:r>
              <w:fldChar w:fldCharType="separate"/>
            </w:r>
            <w:r>
              <w:t>40</w:t>
            </w:r>
            <w:r>
              <w:fldChar w:fldCharType="end"/>
            </w:r>
          </w:hyperlink>
        </w:p>
        <w:p>
          <w:pPr>
            <w:pStyle w:val="11"/>
            <w:ind w:left="360"/>
            <w:tabs>
              <w:tab w:val="right" w:leader="dot" w:pos="9026"/>
            </w:tabs>
            <w:spacing w:before="120" w:after="60"/>
          </w:pPr>
          <w:hyperlink w:anchor="_Toc100119" w:history="1">
            <w:r>
              <w:rPr>
                <w:rStyle w:val="Hyperlink"/>
              </w:rPr>
              <w:t>23.1 Performance</w:t>
            </w:r>
            <w:r>
              <w:tab/>
            </w:r>
            <w:r>
              <w:fldChar w:fldCharType="begin"/>
            </w:r>
            <w:r>
              <w:instrText xml:space="preserve"> PAGEREF _Toc100119 \h </w:instrText>
            </w:r>
            <w:r>
              <w:fldChar w:fldCharType="separate"/>
            </w:r>
            <w:r>
              <w:t>41</w:t>
            </w:r>
            <w:r>
              <w:fldChar w:fldCharType="end"/>
            </w:r>
          </w:hyperlink>
        </w:p>
        <w:p>
          <w:pPr>
            <w:pStyle w:val="11"/>
            <w:ind w:left="360"/>
            <w:tabs>
              <w:tab w:val="right" w:leader="dot" w:pos="9026"/>
            </w:tabs>
            <w:spacing w:before="120" w:after="60"/>
          </w:pPr>
          <w:hyperlink w:anchor="_Toc100120" w:history="1">
            <w:r>
              <w:rPr>
                <w:rStyle w:val="Hyperlink"/>
              </w:rPr>
              <w:t>23.2 Reliability</w:t>
            </w:r>
            <w:r>
              <w:tab/>
            </w:r>
            <w:r>
              <w:fldChar w:fldCharType="begin"/>
            </w:r>
            <w:r>
              <w:instrText xml:space="preserve"> PAGEREF _Toc100120 \h </w:instrText>
            </w:r>
            <w:r>
              <w:fldChar w:fldCharType="separate"/>
            </w:r>
            <w:r>
              <w:t>41</w:t>
            </w:r>
            <w:r>
              <w:fldChar w:fldCharType="end"/>
            </w:r>
          </w:hyperlink>
        </w:p>
        <w:p>
          <w:pPr>
            <w:pStyle w:val="11"/>
            <w:ind w:left="360"/>
            <w:tabs>
              <w:tab w:val="right" w:leader="dot" w:pos="9026"/>
            </w:tabs>
            <w:spacing w:before="120" w:after="60"/>
          </w:pPr>
          <w:hyperlink w:anchor="_Toc100121" w:history="1">
            <w:r>
              <w:rPr>
                <w:rStyle w:val="Hyperlink"/>
              </w:rPr>
              <w:t>23.3 Security</w:t>
            </w:r>
            <w:r>
              <w:tab/>
            </w:r>
            <w:r>
              <w:fldChar w:fldCharType="begin"/>
            </w:r>
            <w:r>
              <w:instrText xml:space="preserve"> PAGEREF _Toc100121 \h </w:instrText>
            </w:r>
            <w:r>
              <w:fldChar w:fldCharType="separate"/>
            </w:r>
            <w:r>
              <w:t>41</w:t>
            </w:r>
            <w:r>
              <w:fldChar w:fldCharType="end"/>
            </w:r>
          </w:hyperlink>
        </w:p>
        <w:p>
          <w:pPr>
            <w:pStyle w:val="11"/>
            <w:ind w:left="360"/>
            <w:tabs>
              <w:tab w:val="right" w:leader="dot" w:pos="9026"/>
            </w:tabs>
            <w:spacing w:before="120" w:after="60"/>
          </w:pPr>
          <w:hyperlink w:anchor="_Toc100122" w:history="1">
            <w:r>
              <w:rPr>
                <w:rStyle w:val="Hyperlink"/>
              </w:rPr>
              <w:t>23.4 Usability</w:t>
            </w:r>
            <w:r>
              <w:tab/>
            </w:r>
            <w:r>
              <w:fldChar w:fldCharType="begin"/>
            </w:r>
            <w:r>
              <w:instrText xml:space="preserve"> PAGEREF _Toc100122 \h </w:instrText>
            </w:r>
            <w:r>
              <w:fldChar w:fldCharType="separate"/>
            </w:r>
            <w:r>
              <w:t>41</w:t>
            </w:r>
            <w:r>
              <w:fldChar w:fldCharType="end"/>
            </w:r>
          </w:hyperlink>
        </w:p>
        <w:p>
          <w:pPr>
            <w:pStyle w:val="11"/>
            <w:ind w:left="360"/>
            <w:tabs>
              <w:tab w:val="right" w:leader="dot" w:pos="9026"/>
            </w:tabs>
            <w:spacing w:before="120" w:after="60"/>
          </w:pPr>
          <w:hyperlink w:anchor="_Toc100123" w:history="1">
            <w:r>
              <w:rPr>
                <w:rStyle w:val="Hyperlink"/>
              </w:rPr>
              <w:t>23.5 Portability</w:t>
            </w:r>
            <w:r>
              <w:tab/>
            </w:r>
            <w:r>
              <w:fldChar w:fldCharType="begin"/>
            </w:r>
            <w:r>
              <w:instrText xml:space="preserve"> PAGEREF _Toc100123 \h </w:instrText>
            </w:r>
            <w:r>
              <w:fldChar w:fldCharType="separate"/>
            </w:r>
            <w:r>
              <w:t>42</w:t>
            </w:r>
            <w:r>
              <w:fldChar w:fldCharType="end"/>
            </w:r>
          </w:hyperlink>
        </w:p>
        <w:p>
          <w:pPr>
            <w:pStyle w:val="11"/>
            <w:ind w:left="360"/>
            <w:tabs>
              <w:tab w:val="right" w:leader="dot" w:pos="9026"/>
            </w:tabs>
            <w:spacing w:before="120" w:after="60"/>
          </w:pPr>
          <w:hyperlink w:anchor="_Toc100124" w:history="1">
            <w:r>
              <w:rPr>
                <w:rStyle w:val="Hyperlink"/>
              </w:rPr>
              <w:t>23.6 Maintainability</w:t>
            </w:r>
            <w:r>
              <w:tab/>
            </w:r>
            <w:r>
              <w:fldChar w:fldCharType="begin"/>
            </w:r>
            <w:r>
              <w:instrText xml:space="preserve"> PAGEREF _Toc100124 \h </w:instrText>
            </w:r>
            <w:r>
              <w:fldChar w:fldCharType="separate"/>
            </w:r>
            <w:r>
              <w:t>42</w:t>
            </w:r>
            <w:r>
              <w:fldChar w:fldCharType="end"/>
            </w:r>
          </w:hyperlink>
        </w:p>
        <w:p>
          <w:pPr>
            <w:pStyle w:val="9"/>
            <w:tabs>
              <w:tab w:val="right" w:leader="dot" w:pos="9026"/>
            </w:tabs>
            <w:spacing w:before="120" w:after="60"/>
          </w:pPr>
          <w:hyperlink w:anchor="_Toc100125" w:history="1">
            <w:r>
              <w:rPr>
                <w:rStyle w:val="Hyperlink"/>
              </w:rPr>
              <w:t>24. Data Model Overview</w:t>
            </w:r>
            <w:r>
              <w:tab/>
            </w:r>
            <w:r>
              <w:fldChar w:fldCharType="begin"/>
            </w:r>
            <w:r>
              <w:instrText xml:space="preserve"> PAGEREF _Toc100125 \h </w:instrText>
            </w:r>
            <w:r>
              <w:fldChar w:fldCharType="separate"/>
            </w:r>
            <w:r>
              <w:t>42</w:t>
            </w:r>
            <w:r>
              <w:fldChar w:fldCharType="end"/>
            </w:r>
          </w:hyperlink>
        </w:p>
        <w:p>
          <w:pPr>
            <w:pStyle w:val="9"/>
            <w:tabs>
              <w:tab w:val="right" w:leader="dot" w:pos="9026"/>
            </w:tabs>
            <w:spacing w:before="120" w:after="60"/>
          </w:pPr>
          <w:hyperlink w:anchor="_Toc100126" w:history="1">
            <w:r>
              <w:rPr>
                <w:rStyle w:val="Hyperlink"/>
              </w:rPr>
              <w:t>25. Implementation Roadmap</w:t>
            </w:r>
            <w:r>
              <w:tab/>
            </w:r>
            <w:r>
              <w:fldChar w:fldCharType="begin"/>
            </w:r>
            <w:r>
              <w:instrText xml:space="preserve"> PAGEREF _Toc100126 \h </w:instrText>
            </w:r>
            <w:r>
              <w:fldChar w:fldCharType="separate"/>
            </w:r>
            <w:r>
              <w:t>43</w:t>
            </w:r>
            <w:r>
              <w:fldChar w:fldCharType="end"/>
            </w:r>
          </w:hyperlink>
        </w:p>
        <w:p>
          <w:pPr>
            <w:pStyle w:val="11"/>
            <w:ind w:left="360"/>
            <w:tabs>
              <w:tab w:val="right" w:leader="dot" w:pos="9026"/>
            </w:tabs>
            <w:spacing w:before="120" w:after="60"/>
          </w:pPr>
          <w:hyperlink w:anchor="_Toc100127" w:history="1">
            <w:r>
              <w:rPr>
                <w:rStyle w:val="Hyperlink"/>
              </w:rPr>
              <w:t>25.1 Phase 1: Foundation (Weeks 1–4)</w:t>
            </w:r>
            <w:r>
              <w:tab/>
            </w:r>
            <w:r>
              <w:fldChar w:fldCharType="begin"/>
            </w:r>
            <w:r>
              <w:instrText xml:space="preserve"> PAGEREF _Toc100127 \h </w:instrText>
            </w:r>
            <w:r>
              <w:fldChar w:fldCharType="separate"/>
            </w:r>
            <w:r>
              <w:t>43</w:t>
            </w:r>
            <w:r>
              <w:fldChar w:fldCharType="end"/>
            </w:r>
          </w:hyperlink>
        </w:p>
        <w:p>
          <w:pPr>
            <w:pStyle w:val="11"/>
            <w:ind w:left="360"/>
            <w:tabs>
              <w:tab w:val="right" w:leader="dot" w:pos="9026"/>
            </w:tabs>
            <w:spacing w:before="120" w:after="60"/>
          </w:pPr>
          <w:hyperlink w:anchor="_Toc100128" w:history="1">
            <w:r>
              <w:rPr>
                <w:rStyle w:val="Hyperlink"/>
              </w:rPr>
              <w:t>25.2 Phase 2: Core CRUD (Weeks 5–10)</w:t>
            </w:r>
            <w:r>
              <w:tab/>
            </w:r>
            <w:r>
              <w:fldChar w:fldCharType="begin"/>
            </w:r>
            <w:r>
              <w:instrText xml:space="preserve"> PAGEREF _Toc100128 \h </w:instrText>
            </w:r>
            <w:r>
              <w:fldChar w:fldCharType="separate"/>
            </w:r>
            <w:r>
              <w:t>43</w:t>
            </w:r>
            <w:r>
              <w:fldChar w:fldCharType="end"/>
            </w:r>
          </w:hyperlink>
        </w:p>
        <w:p>
          <w:pPr>
            <w:pStyle w:val="11"/>
            <w:ind w:left="360"/>
            <w:tabs>
              <w:tab w:val="right" w:leader="dot" w:pos="9026"/>
            </w:tabs>
            <w:spacing w:before="120" w:after="60"/>
          </w:pPr>
          <w:hyperlink w:anchor="_Toc100129" w:history="1">
            <w:r>
              <w:rPr>
                <w:rStyle w:val="Hyperlink"/>
              </w:rPr>
              <w:t>25.3 Phase 3: Operations (Weeks 11–15)</w:t>
            </w:r>
            <w:r>
              <w:tab/>
            </w:r>
            <w:r>
              <w:fldChar w:fldCharType="begin"/>
            </w:r>
            <w:r>
              <w:instrText xml:space="preserve"> PAGEREF _Toc100129 \h </w:instrText>
            </w:r>
            <w:r>
              <w:fldChar w:fldCharType="separate"/>
            </w:r>
            <w:r>
              <w:t>43</w:t>
            </w:r>
            <w:r>
              <w:fldChar w:fldCharType="end"/>
            </w:r>
          </w:hyperlink>
        </w:p>
        <w:p>
          <w:pPr>
            <w:pStyle w:val="11"/>
            <w:ind w:left="360"/>
            <w:tabs>
              <w:tab w:val="right" w:leader="dot" w:pos="9026"/>
            </w:tabs>
            <w:spacing w:before="120" w:after="60"/>
          </w:pPr>
          <w:hyperlink w:anchor="_Toc100130" w:history="1">
            <w:r>
              <w:rPr>
                <w:rStyle w:val="Hyperlink"/>
              </w:rPr>
              <w:t>25.4 Phase 4: Finance &amp; Academics (Weeks 16–19)</w:t>
            </w:r>
            <w:r>
              <w:tab/>
            </w:r>
            <w:r>
              <w:fldChar w:fldCharType="begin"/>
            </w:r>
            <w:r>
              <w:instrText xml:space="preserve"> PAGEREF _Toc100130 \h </w:instrText>
            </w:r>
            <w:r>
              <w:fldChar w:fldCharType="separate"/>
            </w:r>
            <w:r>
              <w:t>44</w:t>
            </w:r>
            <w:r>
              <w:fldChar w:fldCharType="end"/>
            </w:r>
          </w:hyperlink>
        </w:p>
        <w:p>
          <w:pPr>
            <w:pStyle w:val="11"/>
            <w:ind w:left="360"/>
            <w:tabs>
              <w:tab w:val="right" w:leader="dot" w:pos="9026"/>
            </w:tabs>
            <w:spacing w:before="120" w:after="60"/>
          </w:pPr>
          <w:hyperlink w:anchor="_Toc100131" w:history="1">
            <w:r>
              <w:rPr>
                <w:rStyle w:val="Hyperlink"/>
              </w:rPr>
              <w:t>25.5 Phase 5: Polish &amp; Release (Weeks 20–22)</w:t>
            </w:r>
            <w:r>
              <w:tab/>
            </w:r>
            <w:r>
              <w:fldChar w:fldCharType="begin"/>
            </w:r>
            <w:r>
              <w:instrText xml:space="preserve"> PAGEREF _Toc100131 \h </w:instrText>
            </w:r>
            <w:r>
              <w:fldChar w:fldCharType="separate"/>
            </w:r>
            <w:r>
              <w:t>44</w:t>
            </w:r>
            <w:r>
              <w:fldChar w:fldCharType="end"/>
            </w:r>
          </w:hyperlink>
        </w:p>
        <w:p>
          <w:pPr>
            <w:pStyle w:val="9"/>
            <w:tabs>
              <w:tab w:val="right" w:leader="dot" w:pos="9026"/>
            </w:tabs>
            <w:spacing w:before="120" w:after="60"/>
          </w:pPr>
          <w:hyperlink w:anchor="_Toc100132" w:history="1">
            <w:r>
              <w:rPr>
                <w:rStyle w:val="Hyperlink"/>
              </w:rPr>
              <w:t>26. Risk &amp; Mitigation</w:t>
            </w:r>
            <w:r>
              <w:tab/>
            </w:r>
            <w:r>
              <w:fldChar w:fldCharType="begin"/>
            </w:r>
            <w:r>
              <w:instrText xml:space="preserve"> PAGEREF _Toc100132 \h </w:instrText>
            </w:r>
            <w:r>
              <w:fldChar w:fldCharType="separate"/>
            </w:r>
            <w:r>
              <w:t>44</w:t>
            </w:r>
            <w:r>
              <w:fldChar w:fldCharType="end"/>
            </w:r>
          </w:hyperlink>
        </w:p>
        <w:p>
          <w:pPr>
            <w:pStyle w:val="9"/>
            <w:tabs>
              <w:tab w:val="right" w:leader="dot" w:pos="9026"/>
            </w:tabs>
            <w:spacing w:before="120" w:after="60"/>
          </w:pPr>
          <w:hyperlink w:anchor="_Toc100133" w:history="1">
            <w:r>
              <w:rPr>
                <w:rStyle w:val="Hyperlink"/>
              </w:rPr>
              <w:t>27. Acceptance Criteria</w:t>
            </w:r>
            <w:r>
              <w:tab/>
            </w:r>
            <w:r>
              <w:fldChar w:fldCharType="begin"/>
            </w:r>
            <w:r>
              <w:instrText xml:space="preserve"> PAGEREF _Toc100133 \h </w:instrText>
            </w:r>
            <w:r>
              <w:fldChar w:fldCharType="separate"/>
            </w:r>
            <w:r>
              <w:t>45</w:t>
            </w:r>
            <w:r>
              <w:fldChar w:fldCharType="end"/>
            </w:r>
          </w:hyperlink>
        </w:p>
        <w:p>
          <w:r>
            <w:fldChar w:fldCharType="end"/>
          </w:r>
        </w:p>
      </w:sdtContent>
    </w:sdt>
    <w:p>
      <w:r>
        <w:rPr>
          <w:rFonts w:ascii="Calibri"/>
          <w:i/>
          <w:iCs/>
          <w:color w:val="606060"/>
          <w:sz w:val="18"/>
          <w:szCs w:val="18"/>
        </w:rPr>
        <w:t xml:space="preserve">Right-click the table of contents and choose "Update Field" to refresh page numbers.</w:t>
      </w:r>
      <w:r>
        <w:br w:type="page"/>
      </w:r>
    </w:p>
    <w:p>
      <w:pPr>
        <w:sectPr>
          <w:footerReference w:type="default" r:id="rId7"/>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15857A"/>
          <w:sz w:val="32"/>
          <w:szCs w:val="32"/>
        </w:rPr>
        <w:t xml:space="preserve">1. Executive Summary</w:t>
      </w:r>
      <w:bookmarkEnd w:id="100000"/>
    </w:p>
    <w:p>
      <w:pPr>
        <w:spacing w:after="80" w:line="312"/>
        <w:ind w:firstLine="360"/>
        <w:jc w:val="both"/>
      </w:pPr>
      <w:r>
        <w:rPr>
          <w:rFonts w:ascii="Calibri" w:eastAsia="Microsoft YaHei"/>
          <w:color w:val="1A1A1A"/>
          <w:sz w:val="22"/>
          <w:szCs w:val="22"/>
        </w:rPr>
        <w:t xml:space="preserve">The School Management System (SMS) is a fully offline desktop application designed for small-to-medium private schools that need a clean, fast, and reliable way to run their daily operations without the overhead of a complex enterprise ERP. The product consolidates sixteen core modules — covering students, teachers, staff, classes, timetables, attendance, salary with fine deductions, fees, defaulters, examinations, certificates, reports, analytics, user management, and settings — into a single installable package that runs on Windows, macOS, and Linux.</w:t>
      </w:r>
    </w:p>
    <w:p>
      <w:pPr>
        <w:spacing w:after="80" w:line="312"/>
        <w:ind w:firstLine="360"/>
        <w:jc w:val="both"/>
      </w:pPr>
      <w:r>
        <w:rPr>
          <w:rFonts w:ascii="Calibri" w:eastAsia="Microsoft YaHei"/>
          <w:color w:val="1A1A1A"/>
          <w:sz w:val="22"/>
          <w:szCs w:val="22"/>
        </w:rPr>
        <w:t xml:space="preserve">Built with React 18, TypeScript, and Tauri v2 on the frontend, backed by a Rust business-logic layer and a local SQLite database, the application delivers native-class performance with a modern web-style user interface. State is managed with Zustand, forms with React Hook Form and Zod, tables with TanStack Table, and charts with Recharts. The seven-layer architecture (React UI, Zustand state, services, Tauri commands, Rust business logic, repository layer, SQLite) keeps each concern cleanly separated and makes the codebase maintainable by a small team.</w:t>
      </w:r>
    </w:p>
    <w:p>
      <w:pPr>
        <w:spacing w:after="80" w:line="312"/>
        <w:ind w:firstLine="360"/>
        <w:jc w:val="both"/>
      </w:pPr>
      <w:r>
        <w:rPr>
          <w:rFonts w:ascii="Calibri" w:eastAsia="Microsoft YaHei"/>
          <w:color w:val="1A1A1A"/>
          <w:sz w:val="22"/>
          <w:szCs w:val="22"/>
        </w:rPr>
        <w:t xml:space="preserve">The three primary user roles — Admin, Accountant, and Teacher — each see a tailored view of the system with role-based permissions enforced at the command layer. The Admin owns the full system, the Accountant focuses on fee collection and financial reports, and the Teacher handles attendance and results for their assigned classes. This separation ensures that staff only see what they need, reducing training time and operational errors.</w:t>
      </w:r>
    </w:p>
    <w:p>
      <w:pPr>
        <w:spacing w:after="80" w:line="312"/>
        <w:ind w:firstLine="360"/>
        <w:jc w:val="both"/>
      </w:pPr>
      <w:r>
        <w:rPr>
          <w:rFonts w:ascii="Calibri" w:eastAsia="Microsoft YaHei"/>
          <w:color w:val="1A1A1A"/>
          <w:sz w:val="22"/>
          <w:szCs w:val="22"/>
        </w:rPr>
        <w:t xml:space="preserve">Key outcomes for the school include: fee collection completed in under thirty seconds per student, defaulter lists generated in one click, salary automatically adjusted for absenteeism, professional PDF receipts and result cards printed on demand, and a complete backup of all school data in a single file. The application is designed to be deployable by a non-technical school administrator in under one hour, including initial school setup and data import.</w:t>
      </w:r>
    </w:p>
    <w:p>
      <w:pPr>
        <w:spacing w:after="80" w:line="312"/>
        <w:ind w:firstLine="360"/>
        <w:jc w:val="both"/>
      </w:pPr>
      <w:r>
        <w:rPr>
          <w:rFonts w:ascii="Calibri" w:eastAsia="Microsoft YaHei"/>
          <w:color w:val="1A1A1A"/>
          <w:sz w:val="22"/>
          <w:szCs w:val="22"/>
        </w:rPr>
        <w:t xml:space="preserve">This document defines the complete product scope, functional and non-functional requirements, technology stack, architecture, data model, implementation roadmap, and acceptance criteria for version 1.0. It is intended for the product, engineering, and QA teams as the authoritative specification from which implementation will proceed.</w:t>
      </w:r>
    </w:p>
    <w:p>
      <w:pPr>
        <w:pStyle w:val="Heading1"/>
        <w:spacing w:after="160" w:before="360" w:line="312"/>
      </w:pPr>
      <w:bookmarkStart w:id="100001" w:name="_Toc100001"/>
      <w:r>
        <w:rPr>
          <w:rFonts w:ascii="Calibri" w:eastAsia="SimHei"/>
          <w:b/>
          <w:bCs/>
          <w:color w:val="15857A"/>
          <w:sz w:val="32"/>
          <w:szCs w:val="32"/>
        </w:rPr>
        <w:t xml:space="preserve">2. Project Vision &amp; Objectives</w:t>
      </w:r>
      <w:bookmarkEnd w:id="100001"/>
    </w:p>
    <w:p>
      <w:pPr>
        <w:pStyle w:val="Heading2"/>
        <w:spacing w:after="120" w:before="280" w:line="312"/>
      </w:pPr>
      <w:bookmarkStart w:id="100002" w:name="_Toc100002"/>
      <w:r>
        <w:rPr>
          <w:rFonts w:ascii="Calibri" w:eastAsia="SimHei"/>
          <w:b/>
          <w:bCs/>
          <w:color w:val="15857A"/>
          <w:sz w:val="28"/>
          <w:szCs w:val="28"/>
        </w:rPr>
        <w:t xml:space="preserve">2.1 Vision Statement</w:t>
      </w:r>
      <w:bookmarkEnd w:id="100002"/>
    </w:p>
    <w:p>
      <w:pPr>
        <w:spacing w:after="80" w:line="312"/>
        <w:ind w:firstLine="360"/>
        <w:jc w:val="both"/>
      </w:pPr>
      <w:r>
        <w:rPr>
          <w:rFonts w:ascii="Calibri" w:eastAsia="Microsoft YaHei"/>
          <w:color w:val="1A1A1A"/>
          <w:sz w:val="22"/>
          <w:szCs w:val="22"/>
        </w:rPr>
        <w:t xml:space="preserve">To become the default desktop software that a private school installs on its front-office computer — replacing spreadsheets, paper registers, and handwritten receipts with one fast, offline, and genuinely usable application that the school staff actually enjoy using. The product must feel as simple as a mobile app while delivering the depth of an enterprise system in the areas that matter most: fee collection, attendance, salary with fine deductions, and printable certificates and reports.</w:t>
      </w:r>
    </w:p>
    <w:p>
      <w:pPr>
        <w:pStyle w:val="Heading2"/>
        <w:spacing w:after="120" w:before="280" w:line="312"/>
      </w:pPr>
      <w:bookmarkStart w:id="100003" w:name="_Toc100003"/>
      <w:r>
        <w:rPr>
          <w:rFonts w:ascii="Calibri" w:eastAsia="SimHei"/>
          <w:b/>
          <w:bCs/>
          <w:color w:val="15857A"/>
          <w:sz w:val="28"/>
          <w:szCs w:val="28"/>
        </w:rPr>
        <w:t xml:space="preserve">2.2 Problem Statement</w:t>
      </w:r>
      <w:bookmarkEnd w:id="100003"/>
    </w:p>
    <w:p>
      <w:pPr>
        <w:spacing w:after="80" w:line="312"/>
        <w:ind w:firstLine="360"/>
        <w:jc w:val="both"/>
      </w:pPr>
      <w:r>
        <w:rPr>
          <w:rFonts w:ascii="Calibri" w:eastAsia="Microsoft YaHei"/>
          <w:color w:val="1A1A1A"/>
          <w:sz w:val="22"/>
          <w:szCs w:val="22"/>
        </w:rPr>
        <w:t xml:space="preserve">Most small and medium private schools today manage their operations through a patchwork of paper registers, Excel files, and printed receipt books. This approach leads to four recurring problems. First, fee collection is slow and error-prone — receipts are handwritten, duplicates are lost, and the defaulter list is reconstructed manually each month by scanning registers. Second, salary calculation for teaching and non-teaching staff is manual, and absenteeism is rarely deducted accurately because there is no linkage between the attendance register and the payroll process. Third, student records, attendance, and results live in separate places, so generating a report card or a bonafide certificate becomes a half-day exercise of copying data between documents. Fourth, there is no analytical visibility — the principal cannot quickly answer questions like how much fee was collected this month versus last, or which class has the worst attendance trend.</w:t>
      </w:r>
    </w:p>
    <w:p>
      <w:pPr>
        <w:spacing w:after="80" w:line="312"/>
        <w:ind w:firstLine="360"/>
        <w:jc w:val="both"/>
      </w:pPr>
      <w:r>
        <w:rPr>
          <w:rFonts w:ascii="Calibri" w:eastAsia="Microsoft YaHei"/>
          <w:color w:val="1A1A1A"/>
          <w:sz w:val="22"/>
          <w:szCs w:val="22"/>
        </w:rPr>
        <w:t xml:space="preserve">The School Management System addresses these problems by consolidating all school data into one local database, automating the tedious workflows (fee receipts, defaulter lists, salary with attendance-based deductions, result cards), and providing a dashboard and analytics layer that surfaces the key metrics the principal needs to run the school.</w:t>
      </w:r>
    </w:p>
    <w:p>
      <w:pPr>
        <w:pStyle w:val="Heading2"/>
        <w:spacing w:after="120" w:before="280" w:line="312"/>
      </w:pPr>
      <w:bookmarkStart w:id="100004" w:name="_Toc100004"/>
      <w:r>
        <w:rPr>
          <w:rFonts w:ascii="Calibri" w:eastAsia="SimHei"/>
          <w:b/>
          <w:bCs/>
          <w:color w:val="15857A"/>
          <w:sz w:val="28"/>
          <w:szCs w:val="28"/>
        </w:rPr>
        <w:t xml:space="preserve">2.3 Measurable Objectives</w:t>
      </w:r>
      <w:bookmarkEnd w:id="100004"/>
    </w:p>
    <w:p>
      <w:pPr>
        <w:spacing w:after="80" w:line="312"/>
        <w:ind w:firstLine="360"/>
        <w:jc w:val="both"/>
      </w:pPr>
      <w:r>
        <w:rPr>
          <w:rFonts w:ascii="Calibri" w:eastAsia="Microsoft YaHei"/>
          <w:color w:val="1A1A1A"/>
          <w:sz w:val="22"/>
          <w:szCs w:val="22"/>
        </w:rPr>
        <w:t xml:space="preserve">Version 1.0 will be considered successful if it meets the following measurable objectives within the first three months of deployment at a pilot school:</w:t>
      </w:r>
    </w:p>
    <w:p>
      <w:pPr>
        <w:pStyle w:val="ListParagraph"/>
        <w:numPr>
          <w:ilvl w:val="0"/>
          <w:numId w:val="1"/>
        </w:numPr>
        <w:spacing w:after="60" w:line="312"/>
      </w:pPr>
      <w:r>
        <w:rPr>
          <w:rFonts w:ascii="Calibri" w:eastAsia="Microsoft YaHei"/>
          <w:color w:val="1A1A1A"/>
          <w:sz w:val="22"/>
          <w:szCs w:val="22"/>
        </w:rPr>
        <w:t xml:space="preserve">Reduce average fee collection time per student from approximately three minutes (handwritten receipt) to under thirty seconds (digital receipt with one-click print).</w:t>
      </w:r>
    </w:p>
    <w:p>
      <w:pPr>
        <w:pStyle w:val="ListParagraph"/>
        <w:numPr>
          <w:ilvl w:val="0"/>
          <w:numId w:val="1"/>
        </w:numPr>
        <w:spacing w:after="60" w:line="312"/>
      </w:pPr>
      <w:r>
        <w:rPr>
          <w:rFonts w:ascii="Calibri" w:eastAsia="Microsoft YaHei"/>
          <w:color w:val="1A1A1A"/>
          <w:sz w:val="22"/>
          <w:szCs w:val="22"/>
        </w:rPr>
        <w:t xml:space="preserve">Generate the monthly fee defaulter list in under one second, with filters by class and month, replacing the current manual scan that takes one to two staff-hours per month.</w:t>
      </w:r>
    </w:p>
    <w:p>
      <w:pPr>
        <w:pStyle w:val="ListParagraph"/>
        <w:numPr>
          <w:ilvl w:val="0"/>
          <w:numId w:val="1"/>
        </w:numPr>
        <w:spacing w:after="60" w:line="312"/>
      </w:pPr>
      <w:r>
        <w:rPr>
          <w:rFonts w:ascii="Calibri" w:eastAsia="Microsoft YaHei"/>
          <w:color w:val="1A1A1A"/>
          <w:sz w:val="22"/>
          <w:szCs w:val="22"/>
        </w:rPr>
        <w:t xml:space="preserve">Calculate monthly teacher and staff salaries with attendance-based fine deductions automatically, eliminating the current manual calculation that consumes one full day of the accountant's time each month.</w:t>
      </w:r>
    </w:p>
    <w:p>
      <w:pPr>
        <w:pStyle w:val="ListParagraph"/>
        <w:numPr>
          <w:ilvl w:val="0"/>
          <w:numId w:val="1"/>
        </w:numPr>
        <w:spacing w:after="60" w:line="312"/>
      </w:pPr>
      <w:r>
        <w:rPr>
          <w:rFonts w:ascii="Calibri" w:eastAsia="Microsoft YaHei"/>
          <w:color w:val="1A1A1A"/>
          <w:sz w:val="22"/>
          <w:szCs w:val="22"/>
        </w:rPr>
        <w:t xml:space="preserve">Print a result card, certificate, or salary slip in under five seconds from the respective module, with the school logo and principal signature placeholder pre-applied.</w:t>
      </w:r>
    </w:p>
    <w:p>
      <w:pPr>
        <w:pStyle w:val="ListParagraph"/>
        <w:numPr>
          <w:ilvl w:val="0"/>
          <w:numId w:val="1"/>
        </w:numPr>
        <w:spacing w:after="60" w:line="312"/>
      </w:pPr>
      <w:r>
        <w:rPr>
          <w:rFonts w:ascii="Calibri" w:eastAsia="Microsoft YaHei"/>
          <w:color w:val="1A1A1A"/>
          <w:sz w:val="22"/>
          <w:szCs w:val="22"/>
        </w:rPr>
        <w:t xml:space="preserve">Provide a complete database backup in a single file under fifty megabytes for a school of up to one thousand students, restorable on any machine in under two minutes.</w:t>
      </w:r>
    </w:p>
    <w:p>
      <w:pPr>
        <w:pStyle w:val="Heading2"/>
        <w:spacing w:after="120" w:before="280" w:line="312"/>
      </w:pPr>
      <w:bookmarkStart w:id="100005" w:name="_Toc100005"/>
      <w:r>
        <w:rPr>
          <w:rFonts w:ascii="Calibri" w:eastAsia="SimHei"/>
          <w:b/>
          <w:bCs/>
          <w:color w:val="15857A"/>
          <w:sz w:val="28"/>
          <w:szCs w:val="28"/>
        </w:rPr>
        <w:t xml:space="preserve">2.4 Scope Boundaries</w:t>
      </w:r>
      <w:bookmarkEnd w:id="100005"/>
    </w:p>
    <w:p>
      <w:pPr>
        <w:pStyle w:val="Heading3"/>
        <w:spacing w:after="100" w:before="220" w:line="312"/>
      </w:pPr>
      <w:bookmarkStart w:id="100006" w:name="_Toc100006"/>
      <w:r>
        <w:rPr>
          <w:rFonts w:ascii="Calibri" w:eastAsia="SimHei"/>
          <w:b/>
          <w:bCs/>
          <w:color w:val="1A1A1A"/>
          <w:sz w:val="24"/>
          <w:szCs w:val="24"/>
        </w:rPr>
        <w:t xml:space="preserve">2.4.1 In Scope (v1.0)</w:t>
      </w:r>
      <w:bookmarkEnd w:id="100006"/>
    </w:p>
    <w:p>
      <w:pPr>
        <w:spacing w:after="80" w:line="312"/>
        <w:ind w:firstLine="360"/>
        <w:jc w:val="both"/>
      </w:pPr>
      <w:r>
        <w:rPr>
          <w:rFonts w:ascii="Calibri" w:eastAsia="Microsoft YaHei"/>
          <w:color w:val="1A1A1A"/>
          <w:sz w:val="22"/>
          <w:szCs w:val="22"/>
        </w:rPr>
        <w:t xml:space="preserve">The following are explicitly included in version 1.0 and are detailed in the functional modules section of this document:</w:t>
      </w:r>
    </w:p>
    <w:p>
      <w:pPr>
        <w:pStyle w:val="ListParagraph"/>
        <w:numPr>
          <w:ilvl w:val="0"/>
          <w:numId w:val="1"/>
        </w:numPr>
        <w:spacing w:after="60" w:line="312"/>
      </w:pPr>
      <w:r>
        <w:rPr>
          <w:rFonts w:ascii="Calibri" w:eastAsia="Microsoft YaHei"/>
          <w:color w:val="1A1A1A"/>
          <w:sz w:val="22"/>
          <w:szCs w:val="22"/>
        </w:rPr>
        <w:t xml:space="preserve">All sixteen functional modules listed in Section 7 (Dashboard through Settings).</w:t>
      </w:r>
    </w:p>
    <w:p>
      <w:pPr>
        <w:pStyle w:val="ListParagraph"/>
        <w:numPr>
          <w:ilvl w:val="0"/>
          <w:numId w:val="1"/>
        </w:numPr>
        <w:spacing w:after="60" w:line="312"/>
      </w:pPr>
      <w:r>
        <w:rPr>
          <w:rFonts w:ascii="Calibri" w:eastAsia="Microsoft YaHei"/>
          <w:color w:val="1A1A1A"/>
          <w:sz w:val="22"/>
          <w:szCs w:val="22"/>
        </w:rPr>
        <w:t xml:space="preserve">Three user roles: Admin, Accountant, Teacher, with role-based permissions.</w:t>
      </w:r>
    </w:p>
    <w:p>
      <w:pPr>
        <w:pStyle w:val="ListParagraph"/>
        <w:numPr>
          <w:ilvl w:val="0"/>
          <w:numId w:val="1"/>
        </w:numPr>
        <w:spacing w:after="60" w:line="312"/>
      </w:pPr>
      <w:r>
        <w:rPr>
          <w:rFonts w:ascii="Calibri" w:eastAsia="Microsoft YaHei"/>
          <w:color w:val="1A1A1A"/>
          <w:sz w:val="22"/>
          <w:szCs w:val="22"/>
        </w:rPr>
        <w:t xml:space="preserve">Offline desktop deployment on Windows 10/11, macOS, and Linux.</w:t>
      </w:r>
    </w:p>
    <w:p>
      <w:pPr>
        <w:pStyle w:val="ListParagraph"/>
        <w:numPr>
          <w:ilvl w:val="0"/>
          <w:numId w:val="1"/>
        </w:numPr>
        <w:spacing w:after="60" w:line="312"/>
      </w:pPr>
      <w:r>
        <w:rPr>
          <w:rFonts w:ascii="Calibri" w:eastAsia="Microsoft YaHei"/>
          <w:color w:val="1A1A1A"/>
          <w:sz w:val="22"/>
          <w:szCs w:val="22"/>
        </w:rPr>
        <w:t xml:space="preserve">Local SQLite database with manual and automatic daily backup.</w:t>
      </w:r>
    </w:p>
    <w:p>
      <w:pPr>
        <w:pStyle w:val="ListParagraph"/>
        <w:numPr>
          <w:ilvl w:val="0"/>
          <w:numId w:val="1"/>
        </w:numPr>
        <w:spacing w:after="60" w:line="312"/>
      </w:pPr>
      <w:r>
        <w:rPr>
          <w:rFonts w:ascii="Calibri" w:eastAsia="Microsoft YaHei"/>
          <w:color w:val="1A1A1A"/>
          <w:sz w:val="22"/>
          <w:szCs w:val="22"/>
        </w:rPr>
        <w:t xml:space="preserve">PDF and Excel export for all reports; printable receipts, result cards, certificates, and salary slips.</w:t>
      </w:r>
    </w:p>
    <w:p>
      <w:pPr>
        <w:pStyle w:val="ListParagraph"/>
        <w:numPr>
          <w:ilvl w:val="0"/>
          <w:numId w:val="1"/>
        </w:numPr>
        <w:spacing w:after="60" w:line="312"/>
      </w:pPr>
      <w:r>
        <w:rPr>
          <w:rFonts w:ascii="Calibri" w:eastAsia="Microsoft YaHei"/>
          <w:color w:val="1A1A1A"/>
          <w:sz w:val="22"/>
          <w:szCs w:val="22"/>
        </w:rPr>
        <w:t xml:space="preserve">Sample/demo school data preloaded for first-run exploration and training.</w:t>
      </w:r>
    </w:p>
    <w:p>
      <w:pPr>
        <w:pStyle w:val="Heading3"/>
        <w:spacing w:after="100" w:before="220" w:line="312"/>
      </w:pPr>
      <w:bookmarkStart w:id="100007" w:name="_Toc100007"/>
      <w:r>
        <w:rPr>
          <w:rFonts w:ascii="Calibri" w:eastAsia="SimHei"/>
          <w:b/>
          <w:bCs/>
          <w:color w:val="1A1A1A"/>
          <w:sz w:val="24"/>
          <w:szCs w:val="24"/>
        </w:rPr>
        <w:t xml:space="preserve">2.4.2 Out of Scope (v1.0)</w:t>
      </w:r>
      <w:bookmarkEnd w:id="100007"/>
    </w:p>
    <w:p>
      <w:pPr>
        <w:spacing w:after="80" w:line="312"/>
        <w:ind w:firstLine="360"/>
        <w:jc w:val="both"/>
      </w:pPr>
      <w:r>
        <w:rPr>
          <w:rFonts w:ascii="Calibri" w:eastAsia="Microsoft YaHei"/>
          <w:color w:val="1A1A1A"/>
          <w:sz w:val="22"/>
          <w:szCs w:val="22"/>
        </w:rPr>
        <w:t xml:space="preserve">The following are explicitly excluded from version 1.0 to keep the release focused and shippable. They may be considered for future versions based on user feedback:</w:t>
      </w:r>
    </w:p>
    <w:p>
      <w:pPr>
        <w:pStyle w:val="ListParagraph"/>
        <w:numPr>
          <w:ilvl w:val="0"/>
          <w:numId w:val="1"/>
        </w:numPr>
        <w:spacing w:after="60" w:line="312"/>
      </w:pPr>
      <w:r>
        <w:rPr>
          <w:rFonts w:ascii="Calibri" w:eastAsia="Microsoft YaHei"/>
          <w:color w:val="1A1A1A"/>
          <w:sz w:val="22"/>
          <w:szCs w:val="22"/>
        </w:rPr>
        <w:t xml:space="preserve">Cloud sync or multi-school / multi-branch support — v1.0 is strictly single-school, single-machine (or single-LAN with shared DB file).</w:t>
      </w:r>
    </w:p>
    <w:p>
      <w:pPr>
        <w:pStyle w:val="ListParagraph"/>
        <w:numPr>
          <w:ilvl w:val="0"/>
          <w:numId w:val="1"/>
        </w:numPr>
        <w:spacing w:after="60" w:line="312"/>
      </w:pPr>
      <w:r>
        <w:rPr>
          <w:rFonts w:ascii="Calibri" w:eastAsia="Microsoft YaHei"/>
          <w:color w:val="1A1A1A"/>
          <w:sz w:val="22"/>
          <w:szCs w:val="22"/>
        </w:rPr>
        <w:t xml:space="preserve">Parent portal or mobile app — v1.0 is desktop-only; parent communication happens through printed reports and receipts.</w:t>
      </w:r>
    </w:p>
    <w:p>
      <w:pPr>
        <w:pStyle w:val="ListParagraph"/>
        <w:numPr>
          <w:ilvl w:val="0"/>
          <w:numId w:val="1"/>
        </w:numPr>
        <w:spacing w:after="60" w:line="312"/>
      </w:pPr>
      <w:r>
        <w:rPr>
          <w:rFonts w:ascii="Calibri" w:eastAsia="Microsoft YaHei"/>
          <w:color w:val="1A1A1A"/>
          <w:sz w:val="22"/>
          <w:szCs w:val="22"/>
        </w:rPr>
        <w:t xml:space="preserve">SMS and email gateway integration — the data model reserves fields for phone and email, but no gateway integration is built in v1.0.</w:t>
      </w:r>
    </w:p>
    <w:p>
      <w:pPr>
        <w:pStyle w:val="ListParagraph"/>
        <w:numPr>
          <w:ilvl w:val="0"/>
          <w:numId w:val="1"/>
        </w:numPr>
        <w:spacing w:after="60" w:line="312"/>
      </w:pPr>
      <w:r>
        <w:rPr>
          <w:rFonts w:ascii="Calibri" w:eastAsia="Microsoft YaHei"/>
          <w:color w:val="1A1A1A"/>
          <w:sz w:val="22"/>
          <w:szCs w:val="22"/>
        </w:rPr>
        <w:t xml:space="preserve">Online fee payment, payment gateway, or bank integration — all fee collection in v1.0 is cash, cheque, or bank-transfer recorded manually.</w:t>
      </w:r>
    </w:p>
    <w:p>
      <w:pPr>
        <w:pStyle w:val="ListParagraph"/>
        <w:numPr>
          <w:ilvl w:val="0"/>
          <w:numId w:val="1"/>
        </w:numPr>
        <w:spacing w:after="60" w:line="312"/>
      </w:pPr>
      <w:r>
        <w:rPr>
          <w:rFonts w:ascii="Calibri" w:eastAsia="Microsoft YaHei"/>
          <w:color w:val="1A1A1A"/>
          <w:sz w:val="22"/>
          <w:szCs w:val="22"/>
        </w:rPr>
        <w:t xml:space="preserve">Library, transport, inventory, hostel, and alumni modules — these are common school ERP features but are deferred to a future version to keep v1.0 shippable.</w:t>
      </w:r>
    </w:p>
    <w:p>
      <w:pPr>
        <w:pStyle w:val="ListParagraph"/>
        <w:numPr>
          <w:ilvl w:val="0"/>
          <w:numId w:val="1"/>
        </w:numPr>
        <w:spacing w:after="60" w:line="312"/>
      </w:pPr>
      <w:r>
        <w:rPr>
          <w:rFonts w:ascii="Calibri" w:eastAsia="Microsoft YaHei"/>
          <w:color w:val="1A1A1A"/>
          <w:sz w:val="22"/>
          <w:szCs w:val="22"/>
        </w:rPr>
        <w:t xml:space="preserve">Biometric (fingerprint/face) attendance — v1.0 uses manual marking through the UI; biometric device integration is a possible v2.0 feature.</w:t>
      </w:r>
    </w:p>
    <w:p>
      <w:pPr>
        <w:pStyle w:val="Heading1"/>
        <w:spacing w:after="160" w:before="360" w:line="312"/>
      </w:pPr>
      <w:bookmarkStart w:id="100008" w:name="_Toc100008"/>
      <w:r>
        <w:rPr>
          <w:rFonts w:ascii="Calibri" w:eastAsia="SimHei"/>
          <w:b/>
          <w:bCs/>
          <w:color w:val="15857A"/>
          <w:sz w:val="32"/>
          <w:szCs w:val="32"/>
        </w:rPr>
        <w:t xml:space="preserve">3. Target Users &amp; Roles</w:t>
      </w:r>
      <w:bookmarkEnd w:id="100008"/>
    </w:p>
    <w:p>
      <w:pPr>
        <w:spacing w:after="80" w:line="312"/>
        <w:ind w:firstLine="360"/>
        <w:jc w:val="both"/>
      </w:pPr>
      <w:r>
        <w:rPr>
          <w:rFonts w:ascii="Calibri" w:eastAsia="Microsoft YaHei"/>
          <w:color w:val="1A1A1A"/>
          <w:sz w:val="22"/>
          <w:szCs w:val="22"/>
        </w:rPr>
        <w:t xml:space="preserve">The School Management System is designed for three primary user roles. Each role sees a tailored subset of modules and actions, enforced both in the user interface (menu visibility, button enablement) and at the Tauri command layer (every command checks the calling user's role before executing). The role assignment is made by the Admin when creating a user account and can be changed at any time.</w:t>
      </w:r>
    </w:p>
    <w:p>
      <w:pPr>
        <w:pStyle w:val="Heading2"/>
        <w:spacing w:after="120" w:before="280" w:line="312"/>
      </w:pPr>
      <w:bookmarkStart w:id="100009" w:name="_Toc100009"/>
      <w:r>
        <w:rPr>
          <w:rFonts w:ascii="Calibri" w:eastAsia="SimHei"/>
          <w:b/>
          <w:bCs/>
          <w:color w:val="15857A"/>
          <w:sz w:val="28"/>
          <w:szCs w:val="28"/>
        </w:rPr>
        <w:t xml:space="preserve">3.1 Role: Admin</w:t>
      </w:r>
      <w:bookmarkEnd w:id="100009"/>
    </w:p>
    <w:p>
      <w:pPr>
        <w:spacing w:after="80" w:line="312"/>
        <w:ind w:firstLine="360"/>
        <w:jc w:val="both"/>
      </w:pPr>
      <w:r>
        <w:rPr>
          <w:rFonts w:ascii="Calibri" w:eastAsia="Microsoft YaHei"/>
          <w:color w:val="1A1A1A"/>
          <w:sz w:val="22"/>
          <w:szCs w:val="22"/>
        </w:rPr>
        <w:t xml:space="preserve">The Admin is the principal, vice-principal, or front-office manager who owns the system end-to-end. The Admin has full access to every module, can create and deactivate other user accounts, configures school-wide settings (school information, logo, academic session, fine rules, fee due dates), and performs backup and restore operations. The Admin is the only role that can promote students to the next academic session, archive the current session, and reset the database. Typical daily workflow for the Admin: open the dashboard in the morning to review yesterday's fee collection and today's pending tasks, spot-check attendance marking by teachers, generate the monthly defaulter list, and review salary slips before printing.</w:t>
      </w:r>
    </w:p>
    <w:p>
      <w:pPr>
        <w:pStyle w:val="Heading2"/>
        <w:spacing w:after="120" w:before="280" w:line="312"/>
      </w:pPr>
      <w:bookmarkStart w:id="100010" w:name="_Toc100010"/>
      <w:r>
        <w:rPr>
          <w:rFonts w:ascii="Calibri" w:eastAsia="SimHei"/>
          <w:b/>
          <w:bCs/>
          <w:color w:val="15857A"/>
          <w:sz w:val="28"/>
          <w:szCs w:val="28"/>
        </w:rPr>
        <w:t xml:space="preserve">3.2 Role: Accountant</w:t>
      </w:r>
      <w:bookmarkEnd w:id="100010"/>
    </w:p>
    <w:p>
      <w:pPr>
        <w:spacing w:after="80" w:line="312"/>
        <w:ind w:firstLine="360"/>
        <w:jc w:val="both"/>
      </w:pPr>
      <w:r>
        <w:rPr>
          <w:rFonts w:ascii="Calibri" w:eastAsia="Microsoft YaHei"/>
          <w:color w:val="1A1A1A"/>
          <w:sz w:val="22"/>
          <w:szCs w:val="22"/>
        </w:rPr>
        <w:t xml:space="preserve">The Accountant is responsible for fee collection, fee structure configuration, salary processing, and all financial reports. The Accountant has full access to the Fee Management, Fee Defaulter, Salary &amp; Fine Management, and Reports modules, read-only access to Student, Teacher, and Staff modules (needed to look up students and staff during collection and payroll), and no access to Results, Certificates, Timetable, or User Management. Typical daily workflow for the Accountant: open the Fee Collection screen at the start of the day, collect fees from arriving parents with one-click receipt printing, mark fee payments against pending dues, and at month-end generate the defaulter list and process salaries with attendance-based deductions.</w:t>
      </w:r>
    </w:p>
    <w:p>
      <w:pPr>
        <w:pStyle w:val="Heading2"/>
        <w:spacing w:after="120" w:before="280" w:line="312"/>
      </w:pPr>
      <w:bookmarkStart w:id="100011" w:name="_Toc100011"/>
      <w:r>
        <w:rPr>
          <w:rFonts w:ascii="Calibri" w:eastAsia="SimHei"/>
          <w:b/>
          <w:bCs/>
          <w:color w:val="15857A"/>
          <w:sz w:val="28"/>
          <w:szCs w:val="28"/>
        </w:rPr>
        <w:t xml:space="preserve">3.3 Role: Teacher</w:t>
      </w:r>
      <w:bookmarkEnd w:id="100011"/>
    </w:p>
    <w:p>
      <w:pPr>
        <w:spacing w:after="80" w:line="312"/>
        <w:ind w:firstLine="360"/>
        <w:jc w:val="both"/>
      </w:pPr>
      <w:r>
        <w:rPr>
          <w:rFonts w:ascii="Calibri" w:eastAsia="Microsoft YaHei"/>
          <w:color w:val="1A1A1A"/>
          <w:sz w:val="22"/>
          <w:szCs w:val="22"/>
        </w:rPr>
        <w:t xml:space="preserve">The Teacher role is the most restricted and the most focused. A Teacher logs in to mark attendance for their assigned classes, enter marks for exams in their subjects, and view (but not edit) the timetable. Teachers cannot collect fees, manage salaries, configure settings, or access other teachers' data. The Teacher sees only the classes and subjects assigned to them by the Admin. Typical daily workflow for a Teacher: open the Attendance module, select today's class, mark present/absent/late in under one minute per class, then later in the week open the Results module to enter marks for an exam. Teachers also use the system to print their own class's result cards after marks entry is complete.</w:t>
      </w:r>
    </w:p>
    <w:p>
      <w:pPr>
        <w:pStyle w:val="Heading2"/>
        <w:spacing w:after="120" w:before="280" w:line="312"/>
      </w:pPr>
      <w:bookmarkStart w:id="100012" w:name="_Toc100012"/>
      <w:r>
        <w:rPr>
          <w:rFonts w:ascii="Calibri" w:eastAsia="SimHei"/>
          <w:b/>
          <w:bCs/>
          <w:color w:val="15857A"/>
          <w:sz w:val="28"/>
          <w:szCs w:val="28"/>
        </w:rPr>
        <w:t xml:space="preserve">3.4 Permission Matrix</w:t>
      </w:r>
      <w:bookmarkEnd w:id="100012"/>
    </w:p>
    <w:p>
      <w:pPr>
        <w:spacing w:after="80" w:line="312"/>
        <w:ind w:firstLine="360"/>
        <w:jc w:val="both"/>
      </w:pPr>
      <w:r>
        <w:rPr>
          <w:rFonts w:ascii="Calibri" w:eastAsia="Microsoft YaHei"/>
          <w:color w:val="1A1A1A"/>
          <w:sz w:val="22"/>
          <w:szCs w:val="22"/>
        </w:rPr>
        <w:t xml:space="preserve">The table below summarizes the access level for each role across all sixteen modules. "Full" means create, read, update, and delete; "Read" means view-only; "Own" means access limited to the user's own assigned classes or subjects; and "None" means the module is not visible to that role.</w:t>
      </w:r>
    </w:p>
    <w:p>
      <w:pPr>
        <w:keepNext/>
        <w:spacing w:after="80" w:before="160"/>
      </w:pPr>
      <w:r>
        <w:rPr>
          <w:rFonts w:ascii="Calibri" w:eastAsia="SimHei"/>
          <w:b/>
          <w:bCs/>
          <w:color w:val="15857A"/>
          <w:sz w:val="21"/>
          <w:szCs w:val="21"/>
        </w:rPr>
        <w:t xml:space="preserve">Table 1: Role-Based Permission Matrix</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gridCol w:w="100"/>
      </w:tblGrid>
      <w:tr>
        <w:trPr>
          <w:cantSplit/>
          <w:tblHeader/>
        </w:trPr>
        <w:tc>
          <w:tcPr>
            <w:tcW w:type="pct" w:w="34%"/>
            <w:shd w:fill="15857A" w:val="clear"/>
            <w:tcMar>
              <w:top w:type="dxa" w:w="80"/>
              <w:left w:type="dxa" w:w="120"/>
              <w:bottom w:type="dxa" w:w="80"/>
              <w:right w:type="dxa" w:w="120"/>
            </w:tcMar>
          </w:tcPr>
          <w:p>
            <w:pPr>
              <w:jc w:val="left"/>
            </w:pPr>
            <w:r>
              <w:rPr>
                <w:rFonts w:ascii="Calibri" w:eastAsia="SimHei"/>
                <w:b/>
                <w:bCs/>
                <w:color w:val="FFFFFF"/>
                <w:sz w:val="21"/>
                <w:szCs w:val="21"/>
              </w:rPr>
              <w:t xml:space="preserve">Module</w:t>
            </w:r>
          </w:p>
        </w:tc>
        <w:tc>
          <w:tcPr>
            <w:tcW w:type="pct" w:w="18%"/>
            <w:shd w:fill="15857A" w:val="clear"/>
            <w:tcMar>
              <w:top w:type="dxa" w:w="80"/>
              <w:left w:type="dxa" w:w="120"/>
              <w:bottom w:type="dxa" w:w="80"/>
              <w:right w:type="dxa" w:w="120"/>
            </w:tcMar>
          </w:tcPr>
          <w:p>
            <w:pPr>
              <w:jc w:val="left"/>
            </w:pPr>
            <w:r>
              <w:rPr>
                <w:rFonts w:ascii="Calibri" w:eastAsia="SimHei"/>
                <w:b/>
                <w:bCs/>
                <w:color w:val="FFFFFF"/>
                <w:sz w:val="21"/>
                <w:szCs w:val="21"/>
              </w:rPr>
              <w:t xml:space="preserve">Admin</w:t>
            </w:r>
          </w:p>
        </w:tc>
        <w:tc>
          <w:tcPr>
            <w:tcW w:type="pct" w:w="26%"/>
            <w:shd w:fill="15857A" w:val="clear"/>
            <w:tcMar>
              <w:top w:type="dxa" w:w="80"/>
              <w:left w:type="dxa" w:w="120"/>
              <w:bottom w:type="dxa" w:w="80"/>
              <w:right w:type="dxa" w:w="120"/>
            </w:tcMar>
          </w:tcPr>
          <w:p>
            <w:pPr>
              <w:jc w:val="left"/>
            </w:pPr>
            <w:r>
              <w:rPr>
                <w:rFonts w:ascii="Calibri" w:eastAsia="SimHei"/>
                <w:b/>
                <w:bCs/>
                <w:color w:val="FFFFFF"/>
                <w:sz w:val="21"/>
                <w:szCs w:val="21"/>
              </w:rPr>
              <w:t xml:space="preserve">Accountant</w:t>
            </w:r>
          </w:p>
        </w:tc>
        <w:tc>
          <w:tcPr>
            <w:tcW w:type="pct" w:w="22%"/>
            <w:shd w:fill="15857A" w:val="clear"/>
            <w:tcMar>
              <w:top w:type="dxa" w:w="80"/>
              <w:left w:type="dxa" w:w="120"/>
              <w:bottom w:type="dxa" w:w="80"/>
              <w:right w:type="dxa" w:w="120"/>
            </w:tcMar>
          </w:tcPr>
          <w:p>
            <w:pPr>
              <w:jc w:val="left"/>
            </w:pPr>
            <w:r>
              <w:rPr>
                <w:rFonts w:ascii="Calibri" w:eastAsia="SimHei"/>
                <w:b/>
                <w:bCs/>
                <w:color w:val="FFFFFF"/>
                <w:sz w:val="21"/>
                <w:szCs w:val="21"/>
              </w:rPr>
              <w:t xml:space="preserve">Teacher</w:t>
            </w:r>
          </w:p>
        </w:tc>
      </w:tr>
      <w:tr>
        <w:trPr>
          <w:cantSplit/>
        </w:trPr>
        <w:tc>
          <w:tcPr>
            <w:tcW w:type="pct" w:w="34%"/>
            <w:tcMar>
              <w:top w:type="dxa" w:w="60"/>
              <w:left w:type="dxa" w:w="120"/>
              <w:bottom w:type="dxa" w:w="60"/>
              <w:right w:type="dxa" w:w="120"/>
            </w:tcMar>
          </w:tcPr>
          <w:p>
            <w:pPr>
              <w:jc w:val="left"/>
            </w:pPr>
            <w:r>
              <w:rPr>
                <w:rFonts w:ascii="Calibri" w:eastAsia="Microsoft YaHei"/>
                <w:color w:val="1A1A1A"/>
                <w:sz w:val="20"/>
                <w:szCs w:val="20"/>
              </w:rPr>
              <w:t xml:space="preserve">1. Dashboard</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tcMar>
              <w:top w:type="dxa" w:w="60"/>
              <w:left w:type="dxa" w:w="120"/>
              <w:bottom w:type="dxa" w:w="60"/>
              <w:right w:type="dxa" w:w="120"/>
            </w:tcMar>
          </w:tcPr>
          <w:p>
            <w:pPr>
              <w:jc w:val="left"/>
            </w:pPr>
            <w:r>
              <w:rPr>
                <w:rFonts w:ascii="Calibri" w:eastAsia="Microsoft YaHei"/>
                <w:color w:val="1A1A1A"/>
                <w:sz w:val="20"/>
                <w:szCs w:val="20"/>
              </w:rPr>
              <w:t xml:space="preserve">Full (finance focus)</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Limited (own classes)</w:t>
            </w:r>
          </w:p>
        </w:tc>
      </w:tr>
      <w:tr>
        <w:trPr>
          <w:cantSplit/>
        </w:trPr>
        <w:tc>
          <w:tcPr>
            <w:tcW w:type="pct" w:w="3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2. Student Management</w:t>
            </w:r>
          </w:p>
        </w:tc>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Read</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Read (own students)</w:t>
            </w:r>
          </w:p>
        </w:tc>
      </w:tr>
      <w:tr>
        <w:trPr>
          <w:cantSplit/>
        </w:trPr>
        <w:tc>
          <w:tcPr>
            <w:tcW w:type="pct" w:w="34%"/>
            <w:tcMar>
              <w:top w:type="dxa" w:w="60"/>
              <w:left w:type="dxa" w:w="120"/>
              <w:bottom w:type="dxa" w:w="60"/>
              <w:right w:type="dxa" w:w="120"/>
            </w:tcMar>
          </w:tcPr>
          <w:p>
            <w:pPr>
              <w:jc w:val="left"/>
            </w:pPr>
            <w:r>
              <w:rPr>
                <w:rFonts w:ascii="Calibri" w:eastAsia="Microsoft YaHei"/>
                <w:color w:val="1A1A1A"/>
                <w:sz w:val="20"/>
                <w:szCs w:val="20"/>
              </w:rPr>
              <w:t xml:space="preserve">3. Teacher Management</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tcMar>
              <w:top w:type="dxa" w:w="60"/>
              <w:left w:type="dxa" w:w="120"/>
              <w:bottom w:type="dxa" w:w="60"/>
              <w:right w:type="dxa" w:w="120"/>
            </w:tcMar>
          </w:tcPr>
          <w:p>
            <w:pPr>
              <w:jc w:val="left"/>
            </w:pPr>
            <w:r>
              <w:rPr>
                <w:rFonts w:ascii="Calibri" w:eastAsia="Microsoft YaHei"/>
                <w:color w:val="1A1A1A"/>
                <w:sz w:val="20"/>
                <w:szCs w:val="20"/>
              </w:rPr>
              <w:t xml:space="preserve">Read</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Read (own profile)</w:t>
            </w:r>
          </w:p>
        </w:tc>
      </w:tr>
      <w:tr>
        <w:trPr>
          <w:cantSplit/>
        </w:trPr>
        <w:tc>
          <w:tcPr>
            <w:tcW w:type="pct" w:w="3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4. Staff Management</w:t>
            </w:r>
          </w:p>
        </w:tc>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Read</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None</w:t>
            </w:r>
          </w:p>
        </w:tc>
      </w:tr>
      <w:tr>
        <w:trPr>
          <w:cantSplit/>
        </w:trPr>
        <w:tc>
          <w:tcPr>
            <w:tcW w:type="pct" w:w="34%"/>
            <w:tcMar>
              <w:top w:type="dxa" w:w="60"/>
              <w:left w:type="dxa" w:w="120"/>
              <w:bottom w:type="dxa" w:w="60"/>
              <w:right w:type="dxa" w:w="120"/>
            </w:tcMar>
          </w:tcPr>
          <w:p>
            <w:pPr>
              <w:jc w:val="left"/>
            </w:pPr>
            <w:r>
              <w:rPr>
                <w:rFonts w:ascii="Calibri" w:eastAsia="Microsoft YaHei"/>
                <w:color w:val="1A1A1A"/>
                <w:sz w:val="20"/>
                <w:szCs w:val="20"/>
              </w:rPr>
              <w:t xml:space="preserve">5. Class Management</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tcMar>
              <w:top w:type="dxa" w:w="60"/>
              <w:left w:type="dxa" w:w="120"/>
              <w:bottom w:type="dxa" w:w="60"/>
              <w:right w:type="dxa" w:w="120"/>
            </w:tcMar>
          </w:tcPr>
          <w:p>
            <w:pPr>
              <w:jc w:val="left"/>
            </w:pPr>
            <w:r>
              <w:rPr>
                <w:rFonts w:ascii="Calibri" w:eastAsia="Microsoft YaHei"/>
                <w:color w:val="1A1A1A"/>
                <w:sz w:val="20"/>
                <w:szCs w:val="20"/>
              </w:rPr>
              <w:t xml:space="preserve">Read</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Read (own classes)</w:t>
            </w:r>
          </w:p>
        </w:tc>
      </w:tr>
      <w:tr>
        <w:trPr>
          <w:cantSplit/>
        </w:trPr>
        <w:tc>
          <w:tcPr>
            <w:tcW w:type="pct" w:w="3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6. Timetable</w:t>
            </w:r>
          </w:p>
        </w:tc>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Read</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Read (own timetable)</w:t>
            </w:r>
          </w:p>
        </w:tc>
      </w:tr>
      <w:tr>
        <w:trPr>
          <w:cantSplit/>
        </w:trPr>
        <w:tc>
          <w:tcPr>
            <w:tcW w:type="pct" w:w="34%"/>
            <w:tcMar>
              <w:top w:type="dxa" w:w="60"/>
              <w:left w:type="dxa" w:w="120"/>
              <w:bottom w:type="dxa" w:w="60"/>
              <w:right w:type="dxa" w:w="120"/>
            </w:tcMar>
          </w:tcPr>
          <w:p>
            <w:pPr>
              <w:jc w:val="left"/>
            </w:pPr>
            <w:r>
              <w:rPr>
                <w:rFonts w:ascii="Calibri" w:eastAsia="Microsoft YaHei"/>
                <w:color w:val="1A1A1A"/>
                <w:sz w:val="20"/>
                <w:szCs w:val="20"/>
              </w:rPr>
              <w:t xml:space="preserve">7. Attendance</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tcMar>
              <w:top w:type="dxa" w:w="60"/>
              <w:left w:type="dxa" w:w="120"/>
              <w:bottom w:type="dxa" w:w="60"/>
              <w:right w:type="dxa" w:w="120"/>
            </w:tcMar>
          </w:tcPr>
          <w:p>
            <w:pPr>
              <w:jc w:val="left"/>
            </w:pPr>
            <w:r>
              <w:rPr>
                <w:rFonts w:ascii="Calibri" w:eastAsia="Microsoft YaHei"/>
                <w:color w:val="1A1A1A"/>
                <w:sz w:val="20"/>
                <w:szCs w:val="20"/>
              </w:rPr>
              <w:t xml:space="preserve">Read</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Own (mark + view)</w:t>
            </w:r>
          </w:p>
        </w:tc>
      </w:tr>
      <w:tr>
        <w:trPr>
          <w:cantSplit/>
        </w:trPr>
        <w:tc>
          <w:tcPr>
            <w:tcW w:type="pct" w:w="3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8. Salary &amp; Fine</w:t>
            </w:r>
          </w:p>
        </w:tc>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Read (own slip)</w:t>
            </w:r>
          </w:p>
        </w:tc>
      </w:tr>
      <w:tr>
        <w:trPr>
          <w:cantSplit/>
        </w:trPr>
        <w:tc>
          <w:tcPr>
            <w:tcW w:type="pct" w:w="34%"/>
            <w:tcMar>
              <w:top w:type="dxa" w:w="60"/>
              <w:left w:type="dxa" w:w="120"/>
              <w:bottom w:type="dxa" w:w="60"/>
              <w:right w:type="dxa" w:w="120"/>
            </w:tcMar>
          </w:tcPr>
          <w:p>
            <w:pPr>
              <w:jc w:val="left"/>
            </w:pPr>
            <w:r>
              <w:rPr>
                <w:rFonts w:ascii="Calibri" w:eastAsia="Microsoft YaHei"/>
                <w:color w:val="1A1A1A"/>
                <w:sz w:val="20"/>
                <w:szCs w:val="20"/>
              </w:rPr>
              <w:t xml:space="preserve">9. Fee Management</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None</w:t>
            </w:r>
          </w:p>
        </w:tc>
      </w:tr>
      <w:tr>
        <w:trPr>
          <w:cantSplit/>
        </w:trPr>
        <w:tc>
          <w:tcPr>
            <w:tcW w:type="pct" w:w="3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10. Fee Defaulter</w:t>
            </w:r>
          </w:p>
        </w:tc>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None</w:t>
            </w:r>
          </w:p>
        </w:tc>
      </w:tr>
      <w:tr>
        <w:trPr>
          <w:cantSplit/>
        </w:trPr>
        <w:tc>
          <w:tcPr>
            <w:tcW w:type="pct" w:w="34%"/>
            <w:tcMar>
              <w:top w:type="dxa" w:w="60"/>
              <w:left w:type="dxa" w:w="120"/>
              <w:bottom w:type="dxa" w:w="60"/>
              <w:right w:type="dxa" w:w="120"/>
            </w:tcMar>
          </w:tcPr>
          <w:p>
            <w:pPr>
              <w:jc w:val="left"/>
            </w:pPr>
            <w:r>
              <w:rPr>
                <w:rFonts w:ascii="Calibri" w:eastAsia="Microsoft YaHei"/>
                <w:color w:val="1A1A1A"/>
                <w:sz w:val="20"/>
                <w:szCs w:val="20"/>
              </w:rPr>
              <w:t xml:space="preserve">11. Examination &amp; Results</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tcMar>
              <w:top w:type="dxa" w:w="60"/>
              <w:left w:type="dxa" w:w="120"/>
              <w:bottom w:type="dxa" w:w="60"/>
              <w:right w:type="dxa" w:w="120"/>
            </w:tcMar>
          </w:tcPr>
          <w:p>
            <w:pPr>
              <w:jc w:val="left"/>
            </w:pPr>
            <w:r>
              <w:rPr>
                <w:rFonts w:ascii="Calibri" w:eastAsia="Microsoft YaHei"/>
                <w:color w:val="1A1A1A"/>
                <w:sz w:val="20"/>
                <w:szCs w:val="20"/>
              </w:rPr>
              <w:t xml:space="preserve">Read</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Own (marks entry)</w:t>
            </w:r>
          </w:p>
        </w:tc>
      </w:tr>
      <w:tr>
        <w:trPr>
          <w:cantSplit/>
        </w:trPr>
        <w:tc>
          <w:tcPr>
            <w:tcW w:type="pct" w:w="3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12. Certificates</w:t>
            </w:r>
          </w:p>
        </w:tc>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Issue only</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None</w:t>
            </w:r>
          </w:p>
        </w:tc>
      </w:tr>
      <w:tr>
        <w:trPr>
          <w:cantSplit/>
        </w:trPr>
        <w:tc>
          <w:tcPr>
            <w:tcW w:type="pct" w:w="34%"/>
            <w:tcMar>
              <w:top w:type="dxa" w:w="60"/>
              <w:left w:type="dxa" w:w="120"/>
              <w:bottom w:type="dxa" w:w="60"/>
              <w:right w:type="dxa" w:w="120"/>
            </w:tcMar>
          </w:tcPr>
          <w:p>
            <w:pPr>
              <w:jc w:val="left"/>
            </w:pPr>
            <w:r>
              <w:rPr>
                <w:rFonts w:ascii="Calibri" w:eastAsia="Microsoft YaHei"/>
                <w:color w:val="1A1A1A"/>
                <w:sz w:val="20"/>
                <w:szCs w:val="20"/>
              </w:rPr>
              <w:t xml:space="preserve">13. Reports</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tcMar>
              <w:top w:type="dxa" w:w="60"/>
              <w:left w:type="dxa" w:w="120"/>
              <w:bottom w:type="dxa" w:w="60"/>
              <w:right w:type="dxa" w:w="120"/>
            </w:tcMar>
          </w:tcPr>
          <w:p>
            <w:pPr>
              <w:jc w:val="left"/>
            </w:pPr>
            <w:r>
              <w:rPr>
                <w:rFonts w:ascii="Calibri" w:eastAsia="Microsoft YaHei"/>
                <w:color w:val="1A1A1A"/>
                <w:sz w:val="20"/>
                <w:szCs w:val="20"/>
              </w:rPr>
              <w:t xml:space="preserve">Full (finance)</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Own class reports</w:t>
            </w:r>
          </w:p>
        </w:tc>
      </w:tr>
      <w:tr>
        <w:trPr>
          <w:cantSplit/>
        </w:trPr>
        <w:tc>
          <w:tcPr>
            <w:tcW w:type="pct" w:w="3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14. Analytics</w:t>
            </w:r>
          </w:p>
        </w:tc>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 (finance)</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Limited</w:t>
            </w:r>
          </w:p>
        </w:tc>
      </w:tr>
      <w:tr>
        <w:trPr>
          <w:cantSplit/>
        </w:trPr>
        <w:tc>
          <w:tcPr>
            <w:tcW w:type="pct" w:w="34%"/>
            <w:tcMar>
              <w:top w:type="dxa" w:w="60"/>
              <w:left w:type="dxa" w:w="120"/>
              <w:bottom w:type="dxa" w:w="60"/>
              <w:right w:type="dxa" w:w="120"/>
            </w:tcMar>
          </w:tcPr>
          <w:p>
            <w:pPr>
              <w:jc w:val="left"/>
            </w:pPr>
            <w:r>
              <w:rPr>
                <w:rFonts w:ascii="Calibri" w:eastAsia="Microsoft YaHei"/>
                <w:color w:val="1A1A1A"/>
                <w:sz w:val="20"/>
                <w:szCs w:val="20"/>
              </w:rPr>
              <w:t xml:space="preserve">15. User Management</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tcMar>
              <w:top w:type="dxa" w:w="60"/>
              <w:left w:type="dxa" w:w="120"/>
              <w:bottom w:type="dxa" w:w="60"/>
              <w:right w:type="dxa" w:w="120"/>
            </w:tcMar>
          </w:tcPr>
          <w:p>
            <w:pPr>
              <w:jc w:val="left"/>
            </w:pPr>
            <w:r>
              <w:rPr>
                <w:rFonts w:ascii="Calibri" w:eastAsia="Microsoft YaHei"/>
                <w:color w:val="1A1A1A"/>
                <w:sz w:val="20"/>
                <w:szCs w:val="20"/>
              </w:rPr>
              <w:t xml:space="preserve">None</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None</w:t>
            </w:r>
          </w:p>
        </w:tc>
      </w:tr>
      <w:tr>
        <w:trPr>
          <w:cantSplit/>
        </w:trPr>
        <w:tc>
          <w:tcPr>
            <w:tcW w:type="pct" w:w="3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16. Settings</w:t>
            </w:r>
          </w:p>
        </w:tc>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w:t>
            </w:r>
          </w:p>
        </w:tc>
        <w:tc>
          <w:tcPr>
            <w:tcW w:type="pct" w:w="2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Read</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None</w:t>
            </w:r>
          </w:p>
        </w:tc>
      </w:tr>
    </w:tbl>
    <w:p>
      <w:pPr>
        <w:pStyle w:val="Heading1"/>
        <w:spacing w:after="160" w:before="360" w:line="312"/>
      </w:pPr>
      <w:bookmarkStart w:id="100013" w:name="_Toc100013"/>
      <w:r>
        <w:rPr>
          <w:rFonts w:ascii="Calibri" w:eastAsia="SimHei"/>
          <w:b/>
          <w:bCs/>
          <w:color w:val="15857A"/>
          <w:sz w:val="32"/>
          <w:szCs w:val="32"/>
        </w:rPr>
        <w:t xml:space="preserve">4. Technology Stack &amp; Architecture</w:t>
      </w:r>
      <w:bookmarkEnd w:id="100013"/>
    </w:p>
    <w:p>
      <w:pPr>
        <w:pStyle w:val="Heading2"/>
        <w:spacing w:after="120" w:before="280" w:line="312"/>
      </w:pPr>
      <w:bookmarkStart w:id="100014" w:name="_Toc100014"/>
      <w:r>
        <w:rPr>
          <w:rFonts w:ascii="Calibri" w:eastAsia="SimHei"/>
          <w:b/>
          <w:bCs/>
          <w:color w:val="15857A"/>
          <w:sz w:val="28"/>
          <w:szCs w:val="28"/>
        </w:rPr>
        <w:t xml:space="preserve">4.1 Technology Stack</w:t>
      </w:r>
      <w:bookmarkEnd w:id="100014"/>
    </w:p>
    <w:p>
      <w:pPr>
        <w:spacing w:after="80" w:line="312"/>
        <w:ind w:firstLine="360"/>
        <w:jc w:val="both"/>
      </w:pPr>
      <w:r>
        <w:rPr>
          <w:rFonts w:ascii="Calibri" w:eastAsia="Microsoft YaHei"/>
          <w:color w:val="1A1A1A"/>
          <w:sz w:val="22"/>
          <w:szCs w:val="22"/>
        </w:rPr>
        <w:t xml:space="preserve">The application is built with a deliberate choice of mature, well-documented, and actively maintained technologies. Every choice is justified by either developer productivity, runtime performance, or the need to ship a single installable binary that runs offline on all three major desktop operating systems.</w:t>
      </w:r>
    </w:p>
    <w:p>
      <w:pPr>
        <w:keepNext/>
        <w:spacing w:after="80" w:before="160"/>
      </w:pPr>
      <w:r>
        <w:rPr>
          <w:rFonts w:ascii="Calibri" w:eastAsia="SimHei"/>
          <w:b/>
          <w:bCs/>
          <w:color w:val="15857A"/>
          <w:sz w:val="21"/>
          <w:szCs w:val="21"/>
        </w:rPr>
        <w:t xml:space="preserve">Table 2: Technology Stack Summary</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tblGrid>
      <w:tr>
        <w:trPr>
          <w:cantSplit/>
          <w:tblHeader/>
        </w:trPr>
        <w:tc>
          <w:tcPr>
            <w:tcW w:type="pct" w:w="22%"/>
            <w:shd w:fill="15857A" w:val="clear"/>
            <w:tcMar>
              <w:top w:type="dxa" w:w="80"/>
              <w:left w:type="dxa" w:w="120"/>
              <w:bottom w:type="dxa" w:w="80"/>
              <w:right w:type="dxa" w:w="120"/>
            </w:tcMar>
          </w:tcPr>
          <w:p>
            <w:pPr>
              <w:jc w:val="left"/>
            </w:pPr>
            <w:r>
              <w:rPr>
                <w:rFonts w:ascii="Calibri" w:eastAsia="SimHei"/>
                <w:b/>
                <w:bCs/>
                <w:color w:val="FFFFFF"/>
                <w:sz w:val="21"/>
                <w:szCs w:val="21"/>
              </w:rPr>
              <w:t xml:space="preserve">Layer</w:t>
            </w:r>
          </w:p>
        </w:tc>
        <w:tc>
          <w:tcPr>
            <w:tcW w:type="pct" w:w="28%"/>
            <w:shd w:fill="15857A" w:val="clear"/>
            <w:tcMar>
              <w:top w:type="dxa" w:w="80"/>
              <w:left w:type="dxa" w:w="120"/>
              <w:bottom w:type="dxa" w:w="80"/>
              <w:right w:type="dxa" w:w="120"/>
            </w:tcMar>
          </w:tcPr>
          <w:p>
            <w:pPr>
              <w:jc w:val="left"/>
            </w:pPr>
            <w:r>
              <w:rPr>
                <w:rFonts w:ascii="Calibri" w:eastAsia="SimHei"/>
                <w:b/>
                <w:bCs/>
                <w:color w:val="FFFFFF"/>
                <w:sz w:val="21"/>
                <w:szCs w:val="21"/>
              </w:rPr>
              <w:t xml:space="preserve">Technology</w:t>
            </w:r>
          </w:p>
        </w:tc>
        <w:tc>
          <w:tcPr>
            <w:tcW w:type="pct" w:w="50%"/>
            <w:shd w:fill="15857A" w:val="clear"/>
            <w:tcMar>
              <w:top w:type="dxa" w:w="80"/>
              <w:left w:type="dxa" w:w="120"/>
              <w:bottom w:type="dxa" w:w="80"/>
              <w:right w:type="dxa" w:w="120"/>
            </w:tcMar>
          </w:tcPr>
          <w:p>
            <w:pPr>
              <w:jc w:val="left"/>
            </w:pPr>
            <w:r>
              <w:rPr>
                <w:rFonts w:ascii="Calibri" w:eastAsia="SimHei"/>
                <w:b/>
                <w:bCs/>
                <w:color w:val="FFFFFF"/>
                <w:sz w:val="21"/>
                <w:szCs w:val="21"/>
              </w:rPr>
              <w:t xml:space="preserve">Purpose</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Frontend UI</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React 18 + TypeScript</w:t>
            </w:r>
          </w:p>
        </w:tc>
        <w:tc>
          <w:tcPr>
            <w:tcW w:type="pct" w:w="50%"/>
            <w:tcMar>
              <w:top w:type="dxa" w:w="60"/>
              <w:left w:type="dxa" w:w="120"/>
              <w:bottom w:type="dxa" w:w="60"/>
              <w:right w:type="dxa" w:w="120"/>
            </w:tcMar>
          </w:tcPr>
          <w:p>
            <w:pPr>
              <w:jc w:val="left"/>
            </w:pPr>
            <w:r>
              <w:rPr>
                <w:rFonts w:ascii="Calibri" w:eastAsia="Microsoft YaHei"/>
                <w:color w:val="1A1A1A"/>
                <w:sz w:val="20"/>
                <w:szCs w:val="20"/>
              </w:rPr>
              <w:t xml:space="preserve">Component-based UI with type safety</w:t>
            </w:r>
          </w:p>
        </w:tc>
      </w:tr>
      <w:tr>
        <w:trPr>
          <w:cantSplit/>
        </w:trPr>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Build Tool</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Vite 5</w:t>
            </w:r>
          </w:p>
        </w:tc>
        <w:tc>
          <w:tcPr>
            <w:tcW w:type="pct" w:w="5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Fast dev server, optimized production build</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Desktop Shell</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Tauri v2</w:t>
            </w:r>
          </w:p>
        </w:tc>
        <w:tc>
          <w:tcPr>
            <w:tcW w:type="pct" w:w="50%"/>
            <w:tcMar>
              <w:top w:type="dxa" w:w="60"/>
              <w:left w:type="dxa" w:w="120"/>
              <w:bottom w:type="dxa" w:w="60"/>
              <w:right w:type="dxa" w:w="120"/>
            </w:tcMar>
          </w:tcPr>
          <w:p>
            <w:pPr>
              <w:jc w:val="left"/>
            </w:pPr>
            <w:r>
              <w:rPr>
                <w:rFonts w:ascii="Calibri" w:eastAsia="Microsoft YaHei"/>
                <w:color w:val="1A1A1A"/>
                <w:sz w:val="20"/>
                <w:szCs w:val="20"/>
              </w:rPr>
              <w:t xml:space="preserve">Native desktop wrapper, Rust backend, small binary</w:t>
            </w:r>
          </w:p>
        </w:tc>
      </w:tr>
      <w:tr>
        <w:trPr>
          <w:cantSplit/>
        </w:trPr>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Database</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SQLite (via rusqlite)</w:t>
            </w:r>
          </w:p>
        </w:tc>
        <w:tc>
          <w:tcPr>
            <w:tcW w:type="pct" w:w="5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Embedded, file-based, zero-config local DB</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State Management</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Zustand</w:t>
            </w:r>
          </w:p>
        </w:tc>
        <w:tc>
          <w:tcPr>
            <w:tcW w:type="pct" w:w="50%"/>
            <w:tcMar>
              <w:top w:type="dxa" w:w="60"/>
              <w:left w:type="dxa" w:w="120"/>
              <w:bottom w:type="dxa" w:w="60"/>
              <w:right w:type="dxa" w:w="120"/>
            </w:tcMar>
          </w:tcPr>
          <w:p>
            <w:pPr>
              <w:jc w:val="left"/>
            </w:pPr>
            <w:r>
              <w:rPr>
                <w:rFonts w:ascii="Calibri" w:eastAsia="Microsoft YaHei"/>
                <w:color w:val="1A1A1A"/>
                <w:sz w:val="20"/>
                <w:szCs w:val="20"/>
              </w:rPr>
              <w:t xml:space="preserve">Lightweight, no boilerplate, perfect for desktop</w:t>
            </w:r>
          </w:p>
        </w:tc>
      </w:tr>
      <w:tr>
        <w:trPr>
          <w:cantSplit/>
        </w:trPr>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Styling</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Tailwind CSS 4</w:t>
            </w:r>
          </w:p>
        </w:tc>
        <w:tc>
          <w:tcPr>
            <w:tcW w:type="pct" w:w="5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Utility-first, consistent design system</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UI Components</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shadcn/ui</w:t>
            </w:r>
          </w:p>
        </w:tc>
        <w:tc>
          <w:tcPr>
            <w:tcW w:type="pct" w:w="50%"/>
            <w:tcMar>
              <w:top w:type="dxa" w:w="60"/>
              <w:left w:type="dxa" w:w="120"/>
              <w:bottom w:type="dxa" w:w="60"/>
              <w:right w:type="dxa" w:w="120"/>
            </w:tcMar>
          </w:tcPr>
          <w:p>
            <w:pPr>
              <w:jc w:val="left"/>
            </w:pPr>
            <w:r>
              <w:rPr>
                <w:rFonts w:ascii="Calibri" w:eastAsia="Microsoft YaHei"/>
                <w:color w:val="1A1A1A"/>
                <w:sz w:val="20"/>
                <w:szCs w:val="20"/>
              </w:rPr>
              <w:t xml:space="preserve">Accessible, customizable, copy-in components</w:t>
            </w:r>
          </w:p>
        </w:tc>
      </w:tr>
      <w:tr>
        <w:trPr>
          <w:cantSplit/>
        </w:trPr>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Forms</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React Hook Form + Zod</w:t>
            </w:r>
          </w:p>
        </w:tc>
        <w:tc>
          <w:tcPr>
            <w:tcW w:type="pct" w:w="5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Performant forms with schema validation</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Tables</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TanStack Table v8</w:t>
            </w:r>
          </w:p>
        </w:tc>
        <w:tc>
          <w:tcPr>
            <w:tcW w:type="pct" w:w="50%"/>
            <w:tcMar>
              <w:top w:type="dxa" w:w="60"/>
              <w:left w:type="dxa" w:w="120"/>
              <w:bottom w:type="dxa" w:w="60"/>
              <w:right w:type="dxa" w:w="120"/>
            </w:tcMar>
          </w:tcPr>
          <w:p>
            <w:pPr>
              <w:jc w:val="left"/>
            </w:pPr>
            <w:r>
              <w:rPr>
                <w:rFonts w:ascii="Calibri" w:eastAsia="Microsoft YaHei"/>
                <w:color w:val="1A1A1A"/>
                <w:sz w:val="20"/>
                <w:szCs w:val="20"/>
              </w:rPr>
              <w:t xml:space="preserve">Headless, sortable, filterable data tables</w:t>
            </w:r>
          </w:p>
        </w:tc>
      </w:tr>
      <w:tr>
        <w:trPr>
          <w:cantSplit/>
        </w:trPr>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Charts</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Recharts</w:t>
            </w:r>
          </w:p>
        </w:tc>
        <w:tc>
          <w:tcPr>
            <w:tcW w:type="pct" w:w="5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Composable React charts for analytics</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Reports (PDF)</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jsPDF + jsPDF-autotable</w:t>
            </w:r>
          </w:p>
        </w:tc>
        <w:tc>
          <w:tcPr>
            <w:tcW w:type="pct" w:w="50%"/>
            <w:tcMar>
              <w:top w:type="dxa" w:w="60"/>
              <w:left w:type="dxa" w:w="120"/>
              <w:bottom w:type="dxa" w:w="60"/>
              <w:right w:type="dxa" w:w="120"/>
            </w:tcMar>
          </w:tcPr>
          <w:p>
            <w:pPr>
              <w:jc w:val="left"/>
            </w:pPr>
            <w:r>
              <w:rPr>
                <w:rFonts w:ascii="Calibri" w:eastAsia="Microsoft YaHei"/>
                <w:color w:val="1A1A1A"/>
                <w:sz w:val="20"/>
                <w:szCs w:val="20"/>
              </w:rPr>
              <w:t xml:space="preserve">Client-side PDF generation</w:t>
            </w:r>
          </w:p>
        </w:tc>
      </w:tr>
      <w:tr>
        <w:trPr>
          <w:cantSplit/>
        </w:trPr>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Reports (Excel)</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ExcelJS</w:t>
            </w:r>
          </w:p>
        </w:tc>
        <w:tc>
          <w:tcPr>
            <w:tcW w:type="pct" w:w="5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Excel file generation with formatting</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Icons</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lucide-react</w:t>
            </w:r>
          </w:p>
        </w:tc>
        <w:tc>
          <w:tcPr>
            <w:tcW w:type="pct" w:w="50%"/>
            <w:tcMar>
              <w:top w:type="dxa" w:w="60"/>
              <w:left w:type="dxa" w:w="120"/>
              <w:bottom w:type="dxa" w:w="60"/>
              <w:right w:type="dxa" w:w="120"/>
            </w:tcMar>
          </w:tcPr>
          <w:p>
            <w:pPr>
              <w:jc w:val="left"/>
            </w:pPr>
            <w:r>
              <w:rPr>
                <w:rFonts w:ascii="Calibri" w:eastAsia="Microsoft YaHei"/>
                <w:color w:val="1A1A1A"/>
                <w:sz w:val="20"/>
                <w:szCs w:val="20"/>
              </w:rPr>
              <w:t xml:space="preserve">Clean, consistent icon set</w:t>
            </w:r>
          </w:p>
        </w:tc>
      </w:tr>
      <w:tr>
        <w:trPr>
          <w:cantSplit/>
        </w:trPr>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Date Handling</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date-fns</w:t>
            </w:r>
          </w:p>
        </w:tc>
        <w:tc>
          <w:tcPr>
            <w:tcW w:type="pct" w:w="5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Lightweight date utilities</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Backend Language</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Rust</w:t>
            </w:r>
          </w:p>
        </w:tc>
        <w:tc>
          <w:tcPr>
            <w:tcW w:type="pct" w:w="50%"/>
            <w:tcMar>
              <w:top w:type="dxa" w:w="60"/>
              <w:left w:type="dxa" w:w="120"/>
              <w:bottom w:type="dxa" w:w="60"/>
              <w:right w:type="dxa" w:w="120"/>
            </w:tcMar>
          </w:tcPr>
          <w:p>
            <w:pPr>
              <w:jc w:val="left"/>
            </w:pPr>
            <w:r>
              <w:rPr>
                <w:rFonts w:ascii="Calibri" w:eastAsia="Microsoft YaHei"/>
                <w:color w:val="1A1A1A"/>
                <w:sz w:val="20"/>
                <w:szCs w:val="20"/>
              </w:rPr>
              <w:t xml:space="preserve">Performance, safety, native Tauri integration</w:t>
            </w:r>
          </w:p>
        </w:tc>
      </w:tr>
      <w:tr>
        <w:trPr>
          <w:cantSplit/>
        </w:trPr>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DB Access (Rust)</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rusqlite + refinery</w:t>
            </w:r>
          </w:p>
        </w:tc>
        <w:tc>
          <w:tcPr>
            <w:tcW w:type="pct" w:w="5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SQLite driver + migrations</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Packaging</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Tauri bundler</w:t>
            </w:r>
          </w:p>
        </w:tc>
        <w:tc>
          <w:tcPr>
            <w:tcW w:type="pct" w:w="50%"/>
            <w:tcMar>
              <w:top w:type="dxa" w:w="60"/>
              <w:left w:type="dxa" w:w="120"/>
              <w:bottom w:type="dxa" w:w="60"/>
              <w:right w:type="dxa" w:w="120"/>
            </w:tcMar>
          </w:tcPr>
          <w:p>
            <w:pPr>
              <w:jc w:val="left"/>
            </w:pPr>
            <w:r>
              <w:rPr>
                <w:rFonts w:ascii="Calibri" w:eastAsia="Microsoft YaHei"/>
                <w:color w:val="1A1A1A"/>
                <w:sz w:val="20"/>
                <w:szCs w:val="20"/>
              </w:rPr>
              <w:t xml:space="preserve">MSI/NSIS for Windows, DMG for macOS, AppImage for Linux</w:t>
            </w:r>
          </w:p>
        </w:tc>
      </w:tr>
    </w:tbl>
    <w:p>
      <w:pPr>
        <w:pStyle w:val="Heading2"/>
        <w:spacing w:after="120" w:before="280" w:line="312"/>
      </w:pPr>
      <w:bookmarkStart w:id="100015" w:name="_Toc100015"/>
      <w:r>
        <w:rPr>
          <w:rFonts w:ascii="Calibri" w:eastAsia="SimHei"/>
          <w:b/>
          <w:bCs/>
          <w:color w:val="15857A"/>
          <w:sz w:val="28"/>
          <w:szCs w:val="28"/>
        </w:rPr>
        <w:t xml:space="preserve">4.2 Seven-Layer Architecture</w:t>
      </w:r>
      <w:bookmarkEnd w:id="100015"/>
    </w:p>
    <w:p>
      <w:pPr>
        <w:spacing w:after="80" w:line="312"/>
        <w:ind w:firstLine="360"/>
        <w:jc w:val="both"/>
      </w:pPr>
      <w:r>
        <w:rPr>
          <w:rFonts w:ascii="Calibri" w:eastAsia="Microsoft YaHei"/>
          <w:color w:val="1A1A1A"/>
          <w:sz w:val="22"/>
          <w:szCs w:val="22"/>
        </w:rPr>
        <w:t xml:space="preserve">The application follows a strict seven-layer architecture that cleanly separates the user interface from the database. Each layer has a single responsibility and communicates only with the layer immediately below it. This separation is essential for maintainability — a UI change never touches database code, a schema change never reaches the React components, and business rules live in exactly one place (the Rust business logic layer) where they can be tested in isolation.</w:t>
      </w:r>
    </w:p>
    <w:p>
      <w:pPr>
        <w:keepNext/>
        <w:spacing w:after="80" w:before="160"/>
      </w:pPr>
      <w:r>
        <w:rPr>
          <w:rFonts w:ascii="Calibri" w:eastAsia="SimHei"/>
          <w:b/>
          <w:bCs/>
          <w:color w:val="15857A"/>
          <w:sz w:val="21"/>
          <w:szCs w:val="21"/>
        </w:rPr>
        <w:t xml:space="preserve">Table 3: Seven-Layer Architecture Responsibilities</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gridCol w:w="100"/>
      </w:tblGrid>
      <w:tr>
        <w:trPr>
          <w:cantSplit/>
          <w:tblHeader/>
        </w:trPr>
        <w:tc>
          <w:tcPr>
            <w:tcW w:type="pct" w:w="8%"/>
            <w:shd w:fill="15857A" w:val="clear"/>
            <w:tcMar>
              <w:top w:type="dxa" w:w="80"/>
              <w:left w:type="dxa" w:w="120"/>
              <w:bottom w:type="dxa" w:w="80"/>
              <w:right w:type="dxa" w:w="120"/>
            </w:tcMar>
          </w:tcPr>
          <w:p>
            <w:pPr>
              <w:jc w:val="left"/>
            </w:pPr>
            <w:r>
              <w:rPr>
                <w:rFonts w:ascii="Calibri" w:eastAsia="SimHei"/>
                <w:b/>
                <w:bCs/>
                <w:color w:val="FFFFFF"/>
                <w:sz w:val="21"/>
                <w:szCs w:val="21"/>
              </w:rPr>
              <w:t xml:space="preserve">Layer #</w:t>
            </w:r>
          </w:p>
        </w:tc>
        <w:tc>
          <w:tcPr>
            <w:tcW w:type="pct" w:w="22%"/>
            <w:shd w:fill="15857A" w:val="clear"/>
            <w:tcMar>
              <w:top w:type="dxa" w:w="80"/>
              <w:left w:type="dxa" w:w="120"/>
              <w:bottom w:type="dxa" w:w="80"/>
              <w:right w:type="dxa" w:w="120"/>
            </w:tcMar>
          </w:tcPr>
          <w:p>
            <w:pPr>
              <w:jc w:val="left"/>
            </w:pPr>
            <w:r>
              <w:rPr>
                <w:rFonts w:ascii="Calibri" w:eastAsia="SimHei"/>
                <w:b/>
                <w:bCs/>
                <w:color w:val="FFFFFF"/>
                <w:sz w:val="21"/>
                <w:szCs w:val="21"/>
              </w:rPr>
              <w:t xml:space="preserve">Layer Name</w:t>
            </w:r>
          </w:p>
        </w:tc>
        <w:tc>
          <w:tcPr>
            <w:tcW w:type="pct" w:w="22%"/>
            <w:shd w:fill="15857A" w:val="clear"/>
            <w:tcMar>
              <w:top w:type="dxa" w:w="80"/>
              <w:left w:type="dxa" w:w="120"/>
              <w:bottom w:type="dxa" w:w="80"/>
              <w:right w:type="dxa" w:w="120"/>
            </w:tcMar>
          </w:tcPr>
          <w:p>
            <w:pPr>
              <w:jc w:val="left"/>
            </w:pPr>
            <w:r>
              <w:rPr>
                <w:rFonts w:ascii="Calibri" w:eastAsia="SimHei"/>
                <w:b/>
                <w:bCs/>
                <w:color w:val="FFFFFF"/>
                <w:sz w:val="21"/>
                <w:szCs w:val="21"/>
              </w:rPr>
              <w:t xml:space="preserve">Technology</w:t>
            </w:r>
          </w:p>
        </w:tc>
        <w:tc>
          <w:tcPr>
            <w:tcW w:type="pct" w:w="48%"/>
            <w:shd w:fill="15857A" w:val="clear"/>
            <w:tcMar>
              <w:top w:type="dxa" w:w="80"/>
              <w:left w:type="dxa" w:w="120"/>
              <w:bottom w:type="dxa" w:w="80"/>
              <w:right w:type="dxa" w:w="120"/>
            </w:tcMar>
          </w:tcPr>
          <w:p>
            <w:pPr>
              <w:jc w:val="left"/>
            </w:pPr>
            <w:r>
              <w:rPr>
                <w:rFonts w:ascii="Calibri" w:eastAsia="SimHei"/>
                <w:b/>
                <w:bCs/>
                <w:color w:val="FFFFFF"/>
                <w:sz w:val="21"/>
                <w:szCs w:val="21"/>
              </w:rPr>
              <w:t xml:space="preserve">Responsibility</w:t>
            </w:r>
          </w:p>
        </w:tc>
      </w:tr>
      <w:tr>
        <w:trPr>
          <w:cantSplit/>
        </w:trPr>
        <w:tc>
          <w:tcPr>
            <w:tcW w:type="pct" w:w="8%"/>
            <w:tcMar>
              <w:top w:type="dxa" w:w="60"/>
              <w:left w:type="dxa" w:w="120"/>
              <w:bottom w:type="dxa" w:w="60"/>
              <w:right w:type="dxa" w:w="120"/>
            </w:tcMar>
          </w:tcPr>
          <w:p>
            <w:pPr>
              <w:jc w:val="left"/>
            </w:pPr>
            <w:r>
              <w:rPr>
                <w:rFonts w:ascii="Calibri" w:eastAsia="Microsoft YaHei"/>
                <w:color w:val="1A1A1A"/>
                <w:sz w:val="20"/>
                <w:szCs w:val="20"/>
              </w:rPr>
              <w:t xml:space="preserve">1</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React UI</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React + Tailwind + shadcn/ui</w:t>
            </w:r>
          </w:p>
        </w:tc>
        <w:tc>
          <w:tcPr>
            <w:tcW w:type="pct" w:w="48%"/>
            <w:tcMar>
              <w:top w:type="dxa" w:w="60"/>
              <w:left w:type="dxa" w:w="120"/>
              <w:bottom w:type="dxa" w:w="60"/>
              <w:right w:type="dxa" w:w="120"/>
            </w:tcMar>
          </w:tcPr>
          <w:p>
            <w:pPr>
              <w:jc w:val="left"/>
            </w:pPr>
            <w:r>
              <w:rPr>
                <w:rFonts w:ascii="Calibri" w:eastAsia="Microsoft YaHei"/>
                <w:color w:val="1A1A1A"/>
                <w:sz w:val="20"/>
                <w:szCs w:val="20"/>
              </w:rPr>
              <w:t xml:space="preserve">Renders screens, captures user input, displays data. Contains no business logic — only presentation and UI state (modals open/closed, selected row, etc.).</w:t>
            </w:r>
          </w:p>
        </w:tc>
      </w:tr>
      <w:tr>
        <w:trPr>
          <w:cantSplit/>
        </w:trPr>
        <w:tc>
          <w:tcPr>
            <w:tcW w:type="pct" w:w="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2</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State (Zustand)</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Zustand stores</w:t>
            </w:r>
          </w:p>
        </w:tc>
        <w:tc>
          <w:tcPr>
            <w:tcW w:type="pct" w:w="4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Holds client-side application state (current user, cached lists, dashboard KPIs). Acts as a read-through cache: UI reads from store, store fetches from services on miss.</w:t>
            </w:r>
          </w:p>
        </w:tc>
      </w:tr>
      <w:tr>
        <w:trPr>
          <w:cantSplit/>
        </w:trPr>
        <w:tc>
          <w:tcPr>
            <w:tcW w:type="pct" w:w="8%"/>
            <w:tcMar>
              <w:top w:type="dxa" w:w="60"/>
              <w:left w:type="dxa" w:w="120"/>
              <w:bottom w:type="dxa" w:w="60"/>
              <w:right w:type="dxa" w:w="120"/>
            </w:tcMar>
          </w:tcPr>
          <w:p>
            <w:pPr>
              <w:jc w:val="left"/>
            </w:pPr>
            <w:r>
              <w:rPr>
                <w:rFonts w:ascii="Calibri" w:eastAsia="Microsoft YaHei"/>
                <w:color w:val="1A1A1A"/>
                <w:sz w:val="20"/>
                <w:szCs w:val="20"/>
              </w:rPr>
              <w:t xml:space="preserve">3</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Services</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TypeScript modules</w:t>
            </w:r>
          </w:p>
        </w:tc>
        <w:tc>
          <w:tcPr>
            <w:tcW w:type="pct" w:w="48%"/>
            <w:tcMar>
              <w:top w:type="dxa" w:w="60"/>
              <w:left w:type="dxa" w:w="120"/>
              <w:bottom w:type="dxa" w:w="60"/>
              <w:right w:type="dxa" w:w="120"/>
            </w:tcMar>
          </w:tcPr>
          <w:p>
            <w:pPr>
              <w:jc w:val="left"/>
            </w:pPr>
            <w:r>
              <w:rPr>
                <w:rFonts w:ascii="Calibri" w:eastAsia="Microsoft YaHei"/>
                <w:color w:val="1A1A1A"/>
                <w:sz w:val="20"/>
                <w:szCs w:val="20"/>
              </w:rPr>
              <w:t xml:space="preserve">Frontend business orchestration — composes multiple Tauri commands into a single UI action (e.g., "collect fee" = create payment + update student balance + generate receipt number + return receipt PDF).</w:t>
            </w:r>
          </w:p>
        </w:tc>
      </w:tr>
      <w:tr>
        <w:trPr>
          <w:cantSplit/>
        </w:trPr>
        <w:tc>
          <w:tcPr>
            <w:tcW w:type="pct" w:w="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4</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Tauri Commands</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@tauri-apps/api invoke</w:t>
            </w:r>
          </w:p>
        </w:tc>
        <w:tc>
          <w:tcPr>
            <w:tcW w:type="pct" w:w="4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The IPC bridge. Each command is a typed function call from TypeScript to Rust. Validates arguments with Zod before invoking, handles Rust errors as typed exceptions.</w:t>
            </w:r>
          </w:p>
        </w:tc>
      </w:tr>
      <w:tr>
        <w:trPr>
          <w:cantSplit/>
        </w:trPr>
        <w:tc>
          <w:tcPr>
            <w:tcW w:type="pct" w:w="8%"/>
            <w:tcMar>
              <w:top w:type="dxa" w:w="60"/>
              <w:left w:type="dxa" w:w="120"/>
              <w:bottom w:type="dxa" w:w="60"/>
              <w:right w:type="dxa" w:w="120"/>
            </w:tcMar>
          </w:tcPr>
          <w:p>
            <w:pPr>
              <w:jc w:val="left"/>
            </w:pPr>
            <w:r>
              <w:rPr>
                <w:rFonts w:ascii="Calibri" w:eastAsia="Microsoft YaHei"/>
                <w:color w:val="1A1A1A"/>
                <w:sz w:val="20"/>
                <w:szCs w:val="20"/>
              </w:rPr>
              <w:t xml:space="preserve">5</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Rust Business Logic</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Rust modules</w:t>
            </w:r>
          </w:p>
        </w:tc>
        <w:tc>
          <w:tcPr>
            <w:tcW w:type="pct" w:w="48%"/>
            <w:tcMar>
              <w:top w:type="dxa" w:w="60"/>
              <w:left w:type="dxa" w:w="120"/>
              <w:bottom w:type="dxa" w:w="60"/>
              <w:right w:type="dxa" w:w="120"/>
            </w:tcMar>
          </w:tcPr>
          <w:p>
            <w:pPr>
              <w:jc w:val="left"/>
            </w:pPr>
            <w:r>
              <w:rPr>
                <w:rFonts w:ascii="Calibri" w:eastAsia="Microsoft YaHei"/>
                <w:color w:val="1A1A1A"/>
                <w:sz w:val="20"/>
                <w:szCs w:val="20"/>
              </w:rPr>
              <w:t xml:space="preserve">All domain rules live here: salary fine calculation, defaulter detection, grade computation, receipt number generation, permission checks. Pure functions, fully unit-testable.</w:t>
            </w:r>
          </w:p>
        </w:tc>
      </w:tr>
      <w:tr>
        <w:trPr>
          <w:cantSplit/>
        </w:trPr>
        <w:tc>
          <w:tcPr>
            <w:tcW w:type="pct" w:w="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6</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Repository Layer</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Rust structs + rusqlite</w:t>
            </w:r>
          </w:p>
        </w:tc>
        <w:tc>
          <w:tcPr>
            <w:tcW w:type="pct" w:w="4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Data access abstraction. Each entity (Student, Teacher, FeePayment, etc.) has a repository with CRUD methods. SQL lives only here — never in business logic.</w:t>
            </w:r>
          </w:p>
        </w:tc>
      </w:tr>
      <w:tr>
        <w:trPr>
          <w:cantSplit/>
        </w:trPr>
        <w:tc>
          <w:tcPr>
            <w:tcW w:type="pct" w:w="8%"/>
            <w:tcMar>
              <w:top w:type="dxa" w:w="60"/>
              <w:left w:type="dxa" w:w="120"/>
              <w:bottom w:type="dxa" w:w="60"/>
              <w:right w:type="dxa" w:w="120"/>
            </w:tcMar>
          </w:tcPr>
          <w:p>
            <w:pPr>
              <w:jc w:val="left"/>
            </w:pPr>
            <w:r>
              <w:rPr>
                <w:rFonts w:ascii="Calibri" w:eastAsia="Microsoft YaHei"/>
                <w:color w:val="1A1A1A"/>
                <w:sz w:val="20"/>
                <w:szCs w:val="20"/>
              </w:rPr>
              <w:t xml:space="preserve">7</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SQLite Database</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SQLite file on disk</w:t>
            </w:r>
          </w:p>
        </w:tc>
        <w:tc>
          <w:tcPr>
            <w:tcW w:type="pct" w:w="48%"/>
            <w:tcMar>
              <w:top w:type="dxa" w:w="60"/>
              <w:left w:type="dxa" w:w="120"/>
              <w:bottom w:type="dxa" w:w="60"/>
              <w:right w:type="dxa" w:w="120"/>
            </w:tcMar>
          </w:tcPr>
          <w:p>
            <w:pPr>
              <w:jc w:val="left"/>
            </w:pPr>
            <w:r>
              <w:rPr>
                <w:rFonts w:ascii="Calibri" w:eastAsia="Microsoft YaHei"/>
                <w:color w:val="1A1A1A"/>
                <w:sz w:val="20"/>
                <w:szCs w:val="20"/>
              </w:rPr>
              <w:t xml:space="preserve">Single .db file stores all school data. Migrations managed by refinery. WAL mode enabled for concurrent read performance.</w:t>
            </w:r>
          </w:p>
        </w:tc>
      </w:tr>
    </w:tbl>
    <w:p>
      <w:pPr>
        <w:pStyle w:val="Heading2"/>
        <w:spacing w:after="120" w:before="280" w:line="312"/>
      </w:pPr>
      <w:bookmarkStart w:id="100016" w:name="_Toc100016"/>
      <w:r>
        <w:rPr>
          <w:rFonts w:ascii="Calibri" w:eastAsia="SimHei"/>
          <w:b/>
          <w:bCs/>
          <w:color w:val="15857A"/>
          <w:sz w:val="28"/>
          <w:szCs w:val="28"/>
        </w:rPr>
        <w:t xml:space="preserve">4.3 Data Flow Example — Collecting a Fee</w:t>
      </w:r>
      <w:bookmarkEnd w:id="100016"/>
    </w:p>
    <w:p>
      <w:pPr>
        <w:spacing w:after="80" w:line="312"/>
        <w:ind w:firstLine="360"/>
        <w:jc w:val="both"/>
      </w:pPr>
      <w:r>
        <w:rPr>
          <w:rFonts w:ascii="Calibri" w:eastAsia="Microsoft YaHei"/>
          <w:color w:val="1A1A1A"/>
          <w:sz w:val="22"/>
          <w:szCs w:val="22"/>
        </w:rPr>
        <w:t xml:space="preserve">To illustrate how the seven layers cooperate, consider the action of collecting a monthly fee from a student. The React UI renders a Collect Fee form; on submit, it calls the feeStore.collectFee() method in the Zustand store. The store calls the FeeService.collectFee() service function, which validates the input with a Zod schema, then invokes two Tauri commands in sequence: create_fee_payment and generate_receipt_number. Each command routes to the Rust business logic layer, where the fee amount is validated against the student's outstanding balance, the receipt number is generated using the school-configured prefix and a sequence counter, and a permission check confirms that the calling user has the Accountant or Admin role. The business logic then calls the repository layer to insert a row into the fee_payments table and update the student's balance. The repository executes parameterized SQL against SQLite. The result (the generated receipt number and updated balance) flows back up through the layers, and the UI displays a printable receipt preview.</w:t>
      </w:r>
    </w:p>
    <w:p>
      <w:pPr>
        <w:pStyle w:val="Heading2"/>
        <w:spacing w:after="120" w:before="280" w:line="312"/>
      </w:pPr>
      <w:bookmarkStart w:id="100017" w:name="_Toc100017"/>
      <w:r>
        <w:rPr>
          <w:rFonts w:ascii="Calibri" w:eastAsia="SimHei"/>
          <w:b/>
          <w:bCs/>
          <w:color w:val="15857A"/>
          <w:sz w:val="28"/>
          <w:szCs w:val="28"/>
        </w:rPr>
        <w:t xml:space="preserve">4.4 Project Structure</w:t>
      </w:r>
      <w:bookmarkEnd w:id="100017"/>
    </w:p>
    <w:p>
      <w:pPr>
        <w:spacing w:after="80" w:line="312"/>
        <w:ind w:firstLine="360"/>
        <w:jc w:val="both"/>
      </w:pPr>
      <w:r>
        <w:rPr>
          <w:rFonts w:ascii="Calibri" w:eastAsia="Microsoft YaHei"/>
          <w:color w:val="1A1A1A"/>
          <w:sz w:val="22"/>
          <w:szCs w:val="22"/>
        </w:rPr>
        <w:t xml:space="preserve">The codebase is organized as a Tauri v2 project with the following top-level structure. The src/ directory contains the React frontend, the src-tauri/ directory contains the Rust backend, and shared type definitions live in a shared/ directory consumed by both sides to ensure end-to-end type safety.</w:t>
      </w:r>
    </w:p>
    <w:p>
      <w:pPr>
        <w:pStyle w:val="ListParagraph"/>
        <w:numPr>
          <w:ilvl w:val="0"/>
          <w:numId w:val="1"/>
        </w:numPr>
        <w:spacing w:after="60" w:line="312"/>
      </w:pPr>
      <w:r>
        <w:rPr>
          <w:rFonts w:ascii="Calibri" w:eastAsia="Microsoft YaHei"/>
          <w:color w:val="1A1A1A"/>
          <w:sz w:val="22"/>
          <w:szCs w:val="22"/>
        </w:rPr>
        <w:t xml:space="preserve">src/ — React frontend (components, pages, stores, services, hooks, lib).</w:t>
      </w:r>
    </w:p>
    <w:p>
      <w:pPr>
        <w:pStyle w:val="ListParagraph"/>
        <w:numPr>
          <w:ilvl w:val="0"/>
          <w:numId w:val="1"/>
        </w:numPr>
        <w:spacing w:after="60" w:line="312"/>
      </w:pPr>
      <w:r>
        <w:rPr>
          <w:rFonts w:ascii="Calibri" w:eastAsia="Microsoft YaHei"/>
          <w:color w:val="1A1A1A"/>
          <w:sz w:val="22"/>
          <w:szCs w:val="22"/>
        </w:rPr>
        <w:t xml:space="preserve">src-tauri/src/ — Rust backend (commands, business logic, repositories, models, db).</w:t>
      </w:r>
    </w:p>
    <w:p>
      <w:pPr>
        <w:pStyle w:val="ListParagraph"/>
        <w:numPr>
          <w:ilvl w:val="0"/>
          <w:numId w:val="1"/>
        </w:numPr>
        <w:spacing w:after="60" w:line="312"/>
      </w:pPr>
      <w:r>
        <w:rPr>
          <w:rFonts w:ascii="Calibri" w:eastAsia="Microsoft YaHei"/>
          <w:color w:val="1A1A1A"/>
          <w:sz w:val="22"/>
          <w:szCs w:val="22"/>
        </w:rPr>
        <w:t xml:space="preserve">src-tauri/migrations/ — SQL migration files managed by refinery.</w:t>
      </w:r>
    </w:p>
    <w:p>
      <w:pPr>
        <w:pStyle w:val="ListParagraph"/>
        <w:numPr>
          <w:ilvl w:val="0"/>
          <w:numId w:val="1"/>
        </w:numPr>
        <w:spacing w:after="60" w:line="312"/>
      </w:pPr>
      <w:r>
        <w:rPr>
          <w:rFonts w:ascii="Calibri" w:eastAsia="Microsoft YaHei"/>
          <w:color w:val="1A1A1A"/>
          <w:sz w:val="22"/>
          <w:szCs w:val="22"/>
        </w:rPr>
        <w:t xml:space="preserve">shared/ — TypeScript types mirrored from Rust structs (generated via ts-rs).</w:t>
      </w:r>
    </w:p>
    <w:p>
      <w:pPr>
        <w:pStyle w:val="ListParagraph"/>
        <w:numPr>
          <w:ilvl w:val="0"/>
          <w:numId w:val="1"/>
        </w:numPr>
        <w:spacing w:after="60" w:line="312"/>
      </w:pPr>
      <w:r>
        <w:rPr>
          <w:rFonts w:ascii="Calibri" w:eastAsia="Microsoft YaHei"/>
          <w:color w:val="1A1A1A"/>
          <w:sz w:val="22"/>
          <w:szCs w:val="22"/>
        </w:rPr>
        <w:t xml:space="preserve">src-tauri/resources/ — bundled static assets (default school logo, certificate templates, demo data SQL).</w:t>
      </w:r>
    </w:p>
    <w:p>
      <w:pPr>
        <w:pStyle w:val="Heading1"/>
        <w:spacing w:after="160" w:before="360" w:line="312"/>
      </w:pPr>
      <w:bookmarkStart w:id="100018" w:name="_Toc100018"/>
      <w:r>
        <w:rPr>
          <w:rFonts w:ascii="Calibri" w:eastAsia="SimHei"/>
          <w:b/>
          <w:bCs/>
          <w:color w:val="15857A"/>
          <w:sz w:val="32"/>
          <w:szCs w:val="32"/>
        </w:rPr>
        <w:t xml:space="preserve">5. Functional Modules — Overview</w:t>
      </w:r>
      <w:bookmarkEnd w:id="100018"/>
    </w:p>
    <w:p>
      <w:pPr>
        <w:spacing w:after="80" w:line="312"/>
        <w:ind w:firstLine="360"/>
        <w:jc w:val="both"/>
      </w:pPr>
      <w:r>
        <w:rPr>
          <w:rFonts w:ascii="Calibri" w:eastAsia="Microsoft YaHei"/>
          <w:color w:val="1A1A1A"/>
          <w:sz w:val="22"/>
          <w:szCs w:val="22"/>
        </w:rPr>
        <w:t xml:space="preserve">The School Management System comprises sixteen functional modules, each addressing a distinct operational area of the school. The modules are designed to be independently usable — a school can begin by using only Fee Management and Attendance, then expand into Salary, Results, and Certificates as confidence grows. However, the modules are deeply integrated where it matters: attendance feeds the salary fine calculation, fee collection updates the defaulter list in real time, and the timetable drives conflict checks during teacher and class assignment.</w:t>
      </w:r>
    </w:p>
    <w:p>
      <w:pPr>
        <w:spacing w:after="80" w:line="312"/>
        <w:ind w:firstLine="360"/>
        <w:jc w:val="both"/>
      </w:pPr>
      <w:r>
        <w:rPr>
          <w:rFonts w:ascii="Calibri" w:eastAsia="Microsoft YaHei"/>
          <w:color w:val="1A1A1A"/>
          <w:sz w:val="22"/>
          <w:szCs w:val="22"/>
        </w:rPr>
        <w:t xml:space="preserve">The table below lists all sixteen modules with their primary user role and the key outcome each module delivers. Detailed specifications for each module follow in the subsequent sections.</w:t>
      </w:r>
    </w:p>
    <w:p>
      <w:pPr>
        <w:keepNext/>
        <w:spacing w:after="80" w:before="160"/>
      </w:pPr>
      <w:r>
        <w:rPr>
          <w:rFonts w:ascii="Calibri" w:eastAsia="SimHei"/>
          <w:b/>
          <w:bCs/>
          <w:color w:val="15857A"/>
          <w:sz w:val="21"/>
          <w:szCs w:val="21"/>
        </w:rPr>
        <w:t xml:space="preserve">Table 4: Module Summary</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gridCol w:w="100"/>
      </w:tblGrid>
      <w:tr>
        <w:trPr>
          <w:cantSplit/>
          <w:tblHeader/>
        </w:trPr>
        <w:tc>
          <w:tcPr>
            <w:tcW w:type="pct" w:w="6%"/>
            <w:shd w:fill="15857A" w:val="clear"/>
            <w:tcMar>
              <w:top w:type="dxa" w:w="80"/>
              <w:left w:type="dxa" w:w="120"/>
              <w:bottom w:type="dxa" w:w="80"/>
              <w:right w:type="dxa" w:w="120"/>
            </w:tcMar>
          </w:tcPr>
          <w:p>
            <w:pPr>
              <w:jc w:val="left"/>
            </w:pPr>
            <w:r>
              <w:rPr>
                <w:rFonts w:ascii="Calibri" w:eastAsia="SimHei"/>
                <w:b/>
                <w:bCs/>
                <w:color w:val="FFFFFF"/>
                <w:sz w:val="21"/>
                <w:szCs w:val="21"/>
              </w:rPr>
              <w:t xml:space="preserve">#</w:t>
            </w:r>
          </w:p>
        </w:tc>
        <w:tc>
          <w:tcPr>
            <w:tcW w:type="pct" w:w="28%"/>
            <w:shd w:fill="15857A" w:val="clear"/>
            <w:tcMar>
              <w:top w:type="dxa" w:w="80"/>
              <w:left w:type="dxa" w:w="120"/>
              <w:bottom w:type="dxa" w:w="80"/>
              <w:right w:type="dxa" w:w="120"/>
            </w:tcMar>
          </w:tcPr>
          <w:p>
            <w:pPr>
              <w:jc w:val="left"/>
            </w:pPr>
            <w:r>
              <w:rPr>
                <w:rFonts w:ascii="Calibri" w:eastAsia="SimHei"/>
                <w:b/>
                <w:bCs/>
                <w:color w:val="FFFFFF"/>
                <w:sz w:val="21"/>
                <w:szCs w:val="21"/>
              </w:rPr>
              <w:t xml:space="preserve">Module</w:t>
            </w:r>
          </w:p>
        </w:tc>
        <w:tc>
          <w:tcPr>
            <w:tcW w:type="pct" w:w="22%"/>
            <w:shd w:fill="15857A" w:val="clear"/>
            <w:tcMar>
              <w:top w:type="dxa" w:w="80"/>
              <w:left w:type="dxa" w:w="120"/>
              <w:bottom w:type="dxa" w:w="80"/>
              <w:right w:type="dxa" w:w="120"/>
            </w:tcMar>
          </w:tcPr>
          <w:p>
            <w:pPr>
              <w:jc w:val="left"/>
            </w:pPr>
            <w:r>
              <w:rPr>
                <w:rFonts w:ascii="Calibri" w:eastAsia="SimHei"/>
                <w:b/>
                <w:bCs/>
                <w:color w:val="FFFFFF"/>
                <w:sz w:val="21"/>
                <w:szCs w:val="21"/>
              </w:rPr>
              <w:t xml:space="preserve">Primary User</w:t>
            </w:r>
          </w:p>
        </w:tc>
        <w:tc>
          <w:tcPr>
            <w:tcW w:type="pct" w:w="44%"/>
            <w:shd w:fill="15857A" w:val="clear"/>
            <w:tcMar>
              <w:top w:type="dxa" w:w="80"/>
              <w:left w:type="dxa" w:w="120"/>
              <w:bottom w:type="dxa" w:w="80"/>
              <w:right w:type="dxa" w:w="120"/>
            </w:tcMar>
          </w:tcPr>
          <w:p>
            <w:pPr>
              <w:jc w:val="left"/>
            </w:pPr>
            <w:r>
              <w:rPr>
                <w:rFonts w:ascii="Calibri" w:eastAsia="SimHei"/>
                <w:b/>
                <w:bCs/>
                <w:color w:val="FFFFFF"/>
                <w:sz w:val="21"/>
                <w:szCs w:val="21"/>
              </w:rPr>
              <w:t xml:space="preserve">Key Outcome</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1</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Dashboard</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Admin</w:t>
            </w:r>
          </w:p>
        </w:tc>
        <w:tc>
          <w:tcPr>
            <w:tcW w:type="pct" w:w="44%"/>
            <w:tcMar>
              <w:top w:type="dxa" w:w="60"/>
              <w:left w:type="dxa" w:w="120"/>
              <w:bottom w:type="dxa" w:w="60"/>
              <w:right w:type="dxa" w:w="120"/>
            </w:tcMar>
          </w:tcPr>
          <w:p>
            <w:pPr>
              <w:jc w:val="left"/>
            </w:pPr>
            <w:r>
              <w:rPr>
                <w:rFonts w:ascii="Calibri" w:eastAsia="Microsoft YaHei"/>
                <w:color w:val="1A1A1A"/>
                <w:sz w:val="20"/>
                <w:szCs w:val="20"/>
              </w:rPr>
              <w:t xml:space="preserve">One-screen view of school health</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2</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Student Management</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Admin</w:t>
            </w:r>
          </w:p>
        </w:tc>
        <w:tc>
          <w:tcPr>
            <w:tcW w:type="pct" w:w="4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Complete student lifecycle in one record</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3</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Teacher Management</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Admin</w:t>
            </w:r>
          </w:p>
        </w:tc>
        <w:tc>
          <w:tcPr>
            <w:tcW w:type="pct" w:w="44%"/>
            <w:tcMar>
              <w:top w:type="dxa" w:w="60"/>
              <w:left w:type="dxa" w:w="120"/>
              <w:bottom w:type="dxa" w:w="60"/>
              <w:right w:type="dxa" w:w="120"/>
            </w:tcMar>
          </w:tcPr>
          <w:p>
            <w:pPr>
              <w:jc w:val="left"/>
            </w:pPr>
            <w:r>
              <w:rPr>
                <w:rFonts w:ascii="Calibri" w:eastAsia="Microsoft YaHei"/>
                <w:color w:val="1A1A1A"/>
                <w:sz w:val="20"/>
                <w:szCs w:val="20"/>
              </w:rPr>
              <w:t xml:space="preserve">Teacher profiles with subject &amp; class assignment</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4</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Staff Management</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Admin</w:t>
            </w:r>
          </w:p>
        </w:tc>
        <w:tc>
          <w:tcPr>
            <w:tcW w:type="pct" w:w="4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Non-teaching staff records &amp; salary</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5</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Class Management</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Admin</w:t>
            </w:r>
          </w:p>
        </w:tc>
        <w:tc>
          <w:tcPr>
            <w:tcW w:type="pct" w:w="44%"/>
            <w:tcMar>
              <w:top w:type="dxa" w:w="60"/>
              <w:left w:type="dxa" w:w="120"/>
              <w:bottom w:type="dxa" w:w="60"/>
              <w:right w:type="dxa" w:w="120"/>
            </w:tcMar>
          </w:tcPr>
          <w:p>
            <w:pPr>
              <w:jc w:val="left"/>
            </w:pPr>
            <w:r>
              <w:rPr>
                <w:rFonts w:ascii="Calibri" w:eastAsia="Microsoft YaHei"/>
                <w:color w:val="1A1A1A"/>
                <w:sz w:val="20"/>
                <w:szCs w:val="20"/>
              </w:rPr>
              <w:t xml:space="preserve">Classes, sections, subjects, class teachers</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6</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Timetable</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Admin</w:t>
            </w:r>
          </w:p>
        </w:tc>
        <w:tc>
          <w:tcPr>
            <w:tcW w:type="pct" w:w="4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Weekly class &amp; teacher timetables, conflict-free</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7</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Attendance</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Teacher / Admin</w:t>
            </w:r>
          </w:p>
        </w:tc>
        <w:tc>
          <w:tcPr>
            <w:tcW w:type="pct" w:w="44%"/>
            <w:tcMar>
              <w:top w:type="dxa" w:w="60"/>
              <w:left w:type="dxa" w:w="120"/>
              <w:bottom w:type="dxa" w:w="60"/>
              <w:right w:type="dxa" w:w="120"/>
            </w:tcMar>
          </w:tcPr>
          <w:p>
            <w:pPr>
              <w:jc w:val="left"/>
            </w:pPr>
            <w:r>
              <w:rPr>
                <w:rFonts w:ascii="Calibri" w:eastAsia="Microsoft YaHei"/>
                <w:color w:val="1A1A1A"/>
                <w:sz w:val="20"/>
                <w:szCs w:val="20"/>
              </w:rPr>
              <w:t xml:space="preserve">Daily attendance for students, teachers, staff</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8</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Salary &amp; Fine</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Accountant</w:t>
            </w:r>
          </w:p>
        </w:tc>
        <w:tc>
          <w:tcPr>
            <w:tcW w:type="pct" w:w="4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Auto salary with attendance-based deductions</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9</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Fee Management</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Accountant</w:t>
            </w:r>
          </w:p>
        </w:tc>
        <w:tc>
          <w:tcPr>
            <w:tcW w:type="pct" w:w="44%"/>
            <w:tcMar>
              <w:top w:type="dxa" w:w="60"/>
              <w:left w:type="dxa" w:w="120"/>
              <w:bottom w:type="dxa" w:w="60"/>
              <w:right w:type="dxa" w:w="120"/>
            </w:tcMar>
          </w:tcPr>
          <w:p>
            <w:pPr>
              <w:jc w:val="left"/>
            </w:pPr>
            <w:r>
              <w:rPr>
                <w:rFonts w:ascii="Calibri" w:eastAsia="Microsoft YaHei"/>
                <w:color w:val="1A1A1A"/>
                <w:sz w:val="20"/>
                <w:szCs w:val="20"/>
              </w:rPr>
              <w:t xml:space="preserve">Fast fee collection with printable receipts</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10</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Fee Defaulter</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Accountant</w:t>
            </w:r>
          </w:p>
        </w:tc>
        <w:tc>
          <w:tcPr>
            <w:tcW w:type="pct" w:w="4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One-click defaulter list by class/month</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11</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Examination &amp; Results</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Teacher / Admin</w:t>
            </w:r>
          </w:p>
        </w:tc>
        <w:tc>
          <w:tcPr>
            <w:tcW w:type="pct" w:w="44%"/>
            <w:tcMar>
              <w:top w:type="dxa" w:w="60"/>
              <w:left w:type="dxa" w:w="120"/>
              <w:bottom w:type="dxa" w:w="60"/>
              <w:right w:type="dxa" w:w="120"/>
            </w:tcMar>
          </w:tcPr>
          <w:p>
            <w:pPr>
              <w:jc w:val="left"/>
            </w:pPr>
            <w:r>
              <w:rPr>
                <w:rFonts w:ascii="Calibri" w:eastAsia="Microsoft YaHei"/>
                <w:color w:val="1A1A1A"/>
                <w:sz w:val="20"/>
                <w:szCs w:val="20"/>
              </w:rPr>
              <w:t xml:space="preserve">Marks entry and printable result cards</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12</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Certificates</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Admin</w:t>
            </w:r>
          </w:p>
        </w:tc>
        <w:tc>
          <w:tcPr>
            <w:tcW w:type="pct" w:w="4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Bonafide, leaving, character, fee-paid certificates</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13</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Reports</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All roles</w:t>
            </w:r>
          </w:p>
        </w:tc>
        <w:tc>
          <w:tcPr>
            <w:tcW w:type="pct" w:w="44%"/>
            <w:tcMar>
              <w:top w:type="dxa" w:w="60"/>
              <w:left w:type="dxa" w:w="120"/>
              <w:bottom w:type="dxa" w:w="60"/>
              <w:right w:type="dxa" w:w="120"/>
            </w:tcMar>
          </w:tcPr>
          <w:p>
            <w:pPr>
              <w:jc w:val="left"/>
            </w:pPr>
            <w:r>
              <w:rPr>
                <w:rFonts w:ascii="Calibri" w:eastAsia="Microsoft YaHei"/>
                <w:color w:val="1A1A1A"/>
                <w:sz w:val="20"/>
                <w:szCs w:val="20"/>
              </w:rPr>
              <w:t xml:space="preserve">Ten printable report types with filters</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14</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Analytics</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Admin</w:t>
            </w:r>
          </w:p>
        </w:tc>
        <w:tc>
          <w:tcPr>
            <w:tcW w:type="pct" w:w="4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Seven charts for trend and decision support</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15</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User Management</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Admin</w:t>
            </w:r>
          </w:p>
        </w:tc>
        <w:tc>
          <w:tcPr>
            <w:tcW w:type="pct" w:w="44%"/>
            <w:tcMar>
              <w:top w:type="dxa" w:w="60"/>
              <w:left w:type="dxa" w:w="120"/>
              <w:bottom w:type="dxa" w:w="60"/>
              <w:right w:type="dxa" w:w="120"/>
            </w:tcMar>
          </w:tcPr>
          <w:p>
            <w:pPr>
              <w:jc w:val="left"/>
            </w:pPr>
            <w:r>
              <w:rPr>
                <w:rFonts w:ascii="Calibri" w:eastAsia="Microsoft YaHei"/>
                <w:color w:val="1A1A1A"/>
                <w:sz w:val="20"/>
                <w:szCs w:val="20"/>
              </w:rPr>
              <w:t xml:space="preserve">Role-based accounts and permissions</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16</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Settings</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Admin</w:t>
            </w:r>
          </w:p>
        </w:tc>
        <w:tc>
          <w:tcPr>
            <w:tcW w:type="pct" w:w="4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School info, fine rules, backup, theme</w:t>
            </w:r>
          </w:p>
        </w:tc>
      </w:tr>
    </w:tbl>
    <w:p>
      <w:pPr>
        <w:pStyle w:val="Heading1"/>
        <w:spacing w:after="160" w:before="360" w:line="312"/>
      </w:pPr>
      <w:bookmarkStart w:id="100019" w:name="_Toc100019"/>
      <w:r>
        <w:rPr>
          <w:rFonts w:ascii="Calibri" w:eastAsia="SimHei"/>
          <w:b/>
          <w:bCs/>
          <w:color w:val="15857A"/>
          <w:sz w:val="32"/>
          <w:szCs w:val="32"/>
        </w:rPr>
        <w:t xml:space="preserve">6. Module 1: Dashboard</w:t>
      </w:r>
      <w:bookmarkEnd w:id="100019"/>
    </w:p>
    <w:p>
      <w:pPr>
        <w:spacing w:after="80" w:line="312"/>
        <w:ind w:firstLine="360"/>
        <w:jc w:val="both"/>
      </w:pPr>
      <w:r>
        <w:rPr>
          <w:rFonts w:ascii="Calibri" w:eastAsia="Microsoft YaHei"/>
          <w:color w:val="1A1A1A"/>
          <w:sz w:val="22"/>
          <w:szCs w:val="22"/>
        </w:rPr>
        <w:t xml:space="preserve">The Dashboard is the first screen every user sees after login. It provides a single-screen snapshot of the school's current operational state, with eight key performance indicator tiles at the top, a recent activities feed in the middle, and a row of quick action buttons at the bottom. The dashboard contents are role-aware: an Admin sees all eight KPIs, an Accountant sees a finance-focused subset (Today's Fee Collection, Monthly Income, Pending Fees, Fee Defaulters), and a Teacher sees only the tiles relevant to their classes (Today's Attendance for assigned classes, upcoming exams).</w:t>
      </w:r>
    </w:p>
    <w:p>
      <w:pPr>
        <w:pStyle w:val="Heading2"/>
        <w:spacing w:after="120" w:before="280" w:line="312"/>
      </w:pPr>
      <w:bookmarkStart w:id="100020" w:name="_Toc100020"/>
      <w:r>
        <w:rPr>
          <w:rFonts w:ascii="Calibri" w:eastAsia="SimHei"/>
          <w:b/>
          <w:bCs/>
          <w:color w:val="15857A"/>
          <w:sz w:val="28"/>
          <w:szCs w:val="28"/>
        </w:rPr>
        <w:t xml:space="preserve">6.1 KPI Tiles</w:t>
      </w:r>
      <w:bookmarkEnd w:id="100020"/>
    </w:p>
    <w:p>
      <w:pPr>
        <w:spacing w:after="80" w:line="312"/>
        <w:ind w:firstLine="360"/>
        <w:jc w:val="both"/>
      </w:pPr>
      <w:r>
        <w:rPr>
          <w:rFonts w:ascii="Calibri" w:eastAsia="Microsoft YaHei"/>
          <w:color w:val="1A1A1A"/>
          <w:sz w:val="22"/>
          <w:szCs w:val="22"/>
        </w:rPr>
        <w:t xml:space="preserve">The eight KPI tiles, displayed as a responsive grid of cards at the top of the dashboard, are:</w:t>
      </w:r>
    </w:p>
    <w:p>
      <w:pPr>
        <w:pStyle w:val="ListParagraph"/>
        <w:numPr>
          <w:ilvl w:val="0"/>
          <w:numId w:val="1"/>
        </w:numPr>
        <w:spacing w:after="60" w:line="312"/>
      </w:pPr>
      <w:r>
        <w:rPr>
          <w:rFonts w:ascii="Calibri" w:eastAsia="Microsoft YaHei"/>
          <w:color w:val="1A1A1A"/>
          <w:sz w:val="22"/>
          <w:szCs w:val="22"/>
        </w:rPr>
        <w:t xml:space="preserve">Total Students — count of all active students enrolled in the current academic session, with a small delta indicator showing net change (admissions minus leaves) versus last month.</w:t>
      </w:r>
    </w:p>
    <w:p>
      <w:pPr>
        <w:pStyle w:val="ListParagraph"/>
        <w:numPr>
          <w:ilvl w:val="0"/>
          <w:numId w:val="1"/>
        </w:numPr>
        <w:spacing w:after="60" w:line="312"/>
      </w:pPr>
      <w:r>
        <w:rPr>
          <w:rFonts w:ascii="Calibri" w:eastAsia="Microsoft YaHei"/>
          <w:color w:val="1A1A1A"/>
          <w:sz w:val="22"/>
          <w:szCs w:val="22"/>
        </w:rPr>
        <w:t xml:space="preserve">Total Teachers — count of all active teaching staff.</w:t>
      </w:r>
    </w:p>
    <w:p>
      <w:pPr>
        <w:pStyle w:val="ListParagraph"/>
        <w:numPr>
          <w:ilvl w:val="0"/>
          <w:numId w:val="1"/>
        </w:numPr>
        <w:spacing w:after="60" w:line="312"/>
      </w:pPr>
      <w:r>
        <w:rPr>
          <w:rFonts w:ascii="Calibri" w:eastAsia="Microsoft YaHei"/>
          <w:color w:val="1A1A1A"/>
          <w:sz w:val="22"/>
          <w:szCs w:val="22"/>
        </w:rPr>
        <w:t xml:space="preserve">Total Staff — count of all active non-teaching staff (admin, accounts, security, janitor, driver, etc.).</w:t>
      </w:r>
    </w:p>
    <w:p>
      <w:pPr>
        <w:pStyle w:val="ListParagraph"/>
        <w:numPr>
          <w:ilvl w:val="0"/>
          <w:numId w:val="1"/>
        </w:numPr>
        <w:spacing w:after="60" w:line="312"/>
      </w:pPr>
      <w:r>
        <w:rPr>
          <w:rFonts w:ascii="Calibri" w:eastAsia="Microsoft YaHei"/>
          <w:color w:val="1A1A1A"/>
          <w:sz w:val="22"/>
          <w:szCs w:val="22"/>
        </w:rPr>
        <w:t xml:space="preserve">Today's Attendance — percentage of students marked present today, with the count shown as "present / total". Updates live as teachers mark attendance.</w:t>
      </w:r>
    </w:p>
    <w:p>
      <w:pPr>
        <w:pStyle w:val="ListParagraph"/>
        <w:numPr>
          <w:ilvl w:val="0"/>
          <w:numId w:val="1"/>
        </w:numPr>
        <w:spacing w:after="60" w:line="312"/>
      </w:pPr>
      <w:r>
        <w:rPr>
          <w:rFonts w:ascii="Calibri" w:eastAsia="Microsoft YaHei"/>
          <w:color w:val="1A1A1A"/>
          <w:sz w:val="22"/>
          <w:szCs w:val="22"/>
        </w:rPr>
        <w:t xml:space="preserve">Today's Fee Collection — sum of all fee payments received today, in the school's configured currency, with a count of receipts issued.</w:t>
      </w:r>
    </w:p>
    <w:p>
      <w:pPr>
        <w:pStyle w:val="ListParagraph"/>
        <w:numPr>
          <w:ilvl w:val="0"/>
          <w:numId w:val="1"/>
        </w:numPr>
        <w:spacing w:after="60" w:line="312"/>
      </w:pPr>
      <w:r>
        <w:rPr>
          <w:rFonts w:ascii="Calibri" w:eastAsia="Microsoft YaHei"/>
          <w:color w:val="1A1A1A"/>
          <w:sz w:val="22"/>
          <w:szCs w:val="22"/>
        </w:rPr>
        <w:t xml:space="preserve">Monthly Income — sum of all income (fees + other charges) collected in the current calendar month, with a comparison to last month's total.</w:t>
      </w:r>
    </w:p>
    <w:p>
      <w:pPr>
        <w:pStyle w:val="ListParagraph"/>
        <w:numPr>
          <w:ilvl w:val="0"/>
          <w:numId w:val="1"/>
        </w:numPr>
        <w:spacing w:after="60" w:line="312"/>
      </w:pPr>
      <w:r>
        <w:rPr>
          <w:rFonts w:ascii="Calibri" w:eastAsia="Microsoft YaHei"/>
          <w:color w:val="1A1A1A"/>
          <w:sz w:val="22"/>
          <w:szCs w:val="22"/>
        </w:rPr>
        <w:t xml:space="preserve">Pending Fees — total outstanding fee amount across all students for the current month, with the count of students who have not yet paid.</w:t>
      </w:r>
    </w:p>
    <w:p>
      <w:pPr>
        <w:pStyle w:val="ListParagraph"/>
        <w:numPr>
          <w:ilvl w:val="0"/>
          <w:numId w:val="1"/>
        </w:numPr>
        <w:spacing w:after="60" w:line="312"/>
      </w:pPr>
      <w:r>
        <w:rPr>
          <w:rFonts w:ascii="Calibri" w:eastAsia="Microsoft YaHei"/>
          <w:color w:val="1A1A1A"/>
          <w:sz w:val="22"/>
          <w:szCs w:val="22"/>
        </w:rPr>
        <w:t xml:space="preserve">Fee Defaulters — count of students whose fee for the previous month remains unpaid past the configured due date, with a quick-link button to open the defaulter list.</w:t>
      </w:r>
    </w:p>
    <w:p>
      <w:pPr>
        <w:pStyle w:val="Heading2"/>
        <w:spacing w:after="120" w:before="280" w:line="312"/>
      </w:pPr>
      <w:bookmarkStart w:id="100021" w:name="_Toc100021"/>
      <w:r>
        <w:rPr>
          <w:rFonts w:ascii="Calibri" w:eastAsia="SimHei"/>
          <w:b/>
          <w:bCs/>
          <w:color w:val="15857A"/>
          <w:sz w:val="28"/>
          <w:szCs w:val="28"/>
        </w:rPr>
        <w:t xml:space="preserve">6.2 Recent Activities Feed</w:t>
      </w:r>
      <w:bookmarkEnd w:id="100021"/>
    </w:p>
    <w:p>
      <w:pPr>
        <w:spacing w:after="80" w:line="312"/>
        <w:ind w:firstLine="360"/>
        <w:jc w:val="both"/>
      </w:pPr>
      <w:r>
        <w:rPr>
          <w:rFonts w:ascii="Calibri" w:eastAsia="Microsoft YaHei"/>
          <w:color w:val="1A1A1A"/>
          <w:sz w:val="22"/>
          <w:szCs w:val="22"/>
        </w:rPr>
        <w:t xml:space="preserve">Below the KPI tiles, a scrollable feed shows the most recent twenty activities in the system, newest first. Each entry includes a timestamp, the acting user's name, the action type (Fee Collected, Student Admitted, Attendance Marked, Salary Slip Generated, etc.), and a one-line description. The feed provides an audit trail of the day's activity and helps the Admin spot any unusual actions at a glance. The activity log is persisted in the database and is also available as a filterable report in the Reports module.</w:t>
      </w:r>
    </w:p>
    <w:p>
      <w:pPr>
        <w:pStyle w:val="Heading2"/>
        <w:spacing w:after="120" w:before="280" w:line="312"/>
      </w:pPr>
      <w:bookmarkStart w:id="100022" w:name="_Toc100022"/>
      <w:r>
        <w:rPr>
          <w:rFonts w:ascii="Calibri" w:eastAsia="SimHei"/>
          <w:b/>
          <w:bCs/>
          <w:color w:val="15857A"/>
          <w:sz w:val="28"/>
          <w:szCs w:val="28"/>
        </w:rPr>
        <w:t xml:space="preserve">6.3 Quick Action Buttons</w:t>
      </w:r>
      <w:bookmarkEnd w:id="100022"/>
    </w:p>
    <w:p>
      <w:pPr>
        <w:spacing w:after="80" w:line="312"/>
        <w:ind w:firstLine="360"/>
        <w:jc w:val="both"/>
      </w:pPr>
      <w:r>
        <w:rPr>
          <w:rFonts w:ascii="Calibri" w:eastAsia="Microsoft YaHei"/>
          <w:color w:val="1A1A1A"/>
          <w:sz w:val="22"/>
          <w:szCs w:val="22"/>
        </w:rPr>
        <w:t xml:space="preserve">A row of large, clearly-labeled buttons at the bottom of the dashboard provides one-click access to the most common daily operations. The button set is role-aware: the Admin and Accountant see Collect Fee, Mark Attendance, Add Student, and Print Receipt; the Teacher sees Mark Attendance, Enter Marks, and Print Result Card. Each button navigates directly to the corresponding module with sensible defaults pre-filled (for example, Collect Fee opens with today's date and the cursor focused on the student search field).</w:t>
      </w:r>
    </w:p>
    <w:p>
      <w:pPr>
        <w:pStyle w:val="Heading2"/>
        <w:spacing w:after="120" w:before="280" w:line="312"/>
      </w:pPr>
      <w:bookmarkStart w:id="100023" w:name="_Toc100023"/>
      <w:r>
        <w:rPr>
          <w:rFonts w:ascii="Calibri" w:eastAsia="SimHei"/>
          <w:b/>
          <w:bCs/>
          <w:color w:val="15857A"/>
          <w:sz w:val="28"/>
          <w:szCs w:val="28"/>
        </w:rPr>
        <w:t xml:space="preserve">6.4 Data Sources &amp; Refresh</w:t>
      </w:r>
      <w:bookmarkEnd w:id="100023"/>
    </w:p>
    <w:p>
      <w:pPr>
        <w:spacing w:after="80" w:line="312"/>
        <w:ind w:firstLine="360"/>
        <w:jc w:val="both"/>
      </w:pPr>
      <w:r>
        <w:rPr>
          <w:rFonts w:ascii="Calibri" w:eastAsia="Microsoft YaHei"/>
          <w:color w:val="1A1A1A"/>
          <w:sz w:val="22"/>
          <w:szCs w:val="22"/>
        </w:rPr>
        <w:t xml:space="preserve">All KPI tiles pull their data from a single dashboard_summary Tauri command that runs five lightweight SQL aggregate queries against the SQLite database. The command executes in under one hundred milliseconds for a school of up to one thousand students. The dashboard auto-refreshes every sixty seconds when the window is focused, and a manual refresh button is available in the top-right corner. To avoid unnecessary re-renders, the Zustand store uses a shallow equality check on the summary object, so unchanged KPIs do not trigger tile re-renders.</w:t>
      </w:r>
    </w:p>
    <w:p>
      <w:pPr>
        <w:pStyle w:val="Heading1"/>
        <w:spacing w:after="160" w:before="360" w:line="312"/>
      </w:pPr>
      <w:bookmarkStart w:id="100024" w:name="_Toc100024"/>
      <w:r>
        <w:rPr>
          <w:rFonts w:ascii="Calibri" w:eastAsia="SimHei"/>
          <w:b/>
          <w:bCs/>
          <w:color w:val="15857A"/>
          <w:sz w:val="32"/>
          <w:szCs w:val="32"/>
        </w:rPr>
        <w:t xml:space="preserve">7. Module 2: Student Management</w:t>
      </w:r>
      <w:bookmarkEnd w:id="100024"/>
    </w:p>
    <w:p>
      <w:pPr>
        <w:spacing w:after="80" w:line="312"/>
        <w:ind w:firstLine="360"/>
        <w:jc w:val="both"/>
      </w:pPr>
      <w:r>
        <w:rPr>
          <w:rFonts w:ascii="Calibri" w:eastAsia="Microsoft YaHei"/>
          <w:color w:val="1A1A1A"/>
          <w:sz w:val="22"/>
          <w:szCs w:val="22"/>
        </w:rPr>
        <w:t xml:space="preserve">The Student Management module is the canonical source of truth for every student in the school. It covers the complete student lifecycle from admission through promotion to leaving, and stores all personal, academic, and parent information in a single normalized record. Every other module — attendance, fees, results, certificates — references the student record by its system-generated student ID, so data integrity is enforced at the database level through foreign key constraints.</w:t>
      </w:r>
    </w:p>
    <w:p>
      <w:pPr>
        <w:pStyle w:val="Heading2"/>
        <w:spacing w:after="120" w:before="280" w:line="312"/>
      </w:pPr>
      <w:bookmarkStart w:id="100025" w:name="_Toc100025"/>
      <w:r>
        <w:rPr>
          <w:rFonts w:ascii="Calibri" w:eastAsia="SimHei"/>
          <w:b/>
          <w:bCs/>
          <w:color w:val="15857A"/>
          <w:sz w:val="28"/>
          <w:szCs w:val="28"/>
        </w:rPr>
        <w:t xml:space="preserve">7.1 Admission Form</w:t>
      </w:r>
      <w:bookmarkEnd w:id="100025"/>
    </w:p>
    <w:p>
      <w:pPr>
        <w:spacing w:after="80" w:line="312"/>
        <w:ind w:firstLine="360"/>
        <w:jc w:val="both"/>
      </w:pPr>
      <w:r>
        <w:rPr>
          <w:rFonts w:ascii="Calibri" w:eastAsia="Microsoft YaHei"/>
          <w:color w:val="1A1A1A"/>
          <w:sz w:val="22"/>
          <w:szCs w:val="22"/>
        </w:rPr>
        <w:t xml:space="preserve">New students are added through a multi-section admission form. The form is organized into five collapsible sections to avoid overwhelming the user: Personal Information, Parent/Guardian Details, Previous Education, Class Assignment, and Photo &amp; Documents. All fields use React Hook Form for state management and Zod for validation, so required fields are clearly marked and validation errors appear inline below each field. The form supports draft saving, so an Admin can begin an admission, attend to a parent at the counter, and return to complete it later.</w:t>
      </w:r>
    </w:p>
    <w:p>
      <w:pPr>
        <w:pStyle w:val="Heading3"/>
        <w:spacing w:after="100" w:before="220" w:line="312"/>
      </w:pPr>
      <w:bookmarkStart w:id="100026" w:name="_Toc100026"/>
      <w:r>
        <w:rPr>
          <w:rFonts w:ascii="Calibri" w:eastAsia="SimHei"/>
          <w:b/>
          <w:bCs/>
          <w:color w:val="1A1A1A"/>
          <w:sz w:val="24"/>
          <w:szCs w:val="24"/>
        </w:rPr>
        <w:t xml:space="preserve">7.1.1 Personal Information Fields</w:t>
      </w:r>
      <w:bookmarkEnd w:id="100026"/>
    </w:p>
    <w:p>
      <w:pPr>
        <w:pStyle w:val="ListParagraph"/>
        <w:numPr>
          <w:ilvl w:val="0"/>
          <w:numId w:val="1"/>
        </w:numPr>
        <w:spacing w:after="60" w:line="312"/>
      </w:pPr>
      <w:r>
        <w:rPr>
          <w:rFonts w:ascii="Calibri" w:eastAsia="Microsoft YaHei"/>
          <w:color w:val="1A1A1A"/>
          <w:sz w:val="22"/>
          <w:szCs w:val="22"/>
        </w:rPr>
        <w:t xml:space="preserve">First Name, Last Name (required)</w:t>
      </w:r>
    </w:p>
    <w:p>
      <w:pPr>
        <w:pStyle w:val="ListParagraph"/>
        <w:numPr>
          <w:ilvl w:val="0"/>
          <w:numId w:val="1"/>
        </w:numPr>
        <w:spacing w:after="60" w:line="312"/>
      </w:pPr>
      <w:r>
        <w:rPr>
          <w:rFonts w:ascii="Calibri" w:eastAsia="Microsoft YaHei"/>
          <w:color w:val="1A1A1A"/>
          <w:sz w:val="22"/>
          <w:szCs w:val="22"/>
        </w:rPr>
        <w:t xml:space="preserve">Date of Birth (required, with age auto-calculated)</w:t>
      </w:r>
    </w:p>
    <w:p>
      <w:pPr>
        <w:pStyle w:val="ListParagraph"/>
        <w:numPr>
          <w:ilvl w:val="0"/>
          <w:numId w:val="1"/>
        </w:numPr>
        <w:spacing w:after="60" w:line="312"/>
      </w:pPr>
      <w:r>
        <w:rPr>
          <w:rFonts w:ascii="Calibri" w:eastAsia="Microsoft YaHei"/>
          <w:color w:val="1A1A1A"/>
          <w:sz w:val="22"/>
          <w:szCs w:val="22"/>
        </w:rPr>
        <w:t xml:space="preserve">Gender (Male / Female / Other)</w:t>
      </w:r>
    </w:p>
    <w:p>
      <w:pPr>
        <w:pStyle w:val="ListParagraph"/>
        <w:numPr>
          <w:ilvl w:val="0"/>
          <w:numId w:val="1"/>
        </w:numPr>
        <w:spacing w:after="60" w:line="312"/>
      </w:pPr>
      <w:r>
        <w:rPr>
          <w:rFonts w:ascii="Calibri" w:eastAsia="Microsoft YaHei"/>
          <w:color w:val="1A1A1A"/>
          <w:sz w:val="22"/>
          <w:szCs w:val="22"/>
        </w:rPr>
        <w:t xml:space="preserve">Blood Group (optional, for emergency use)</w:t>
      </w:r>
    </w:p>
    <w:p>
      <w:pPr>
        <w:pStyle w:val="ListParagraph"/>
        <w:numPr>
          <w:ilvl w:val="0"/>
          <w:numId w:val="1"/>
        </w:numPr>
        <w:spacing w:after="60" w:line="312"/>
      </w:pPr>
      <w:r>
        <w:rPr>
          <w:rFonts w:ascii="Calibri" w:eastAsia="Microsoft YaHei"/>
          <w:color w:val="1A1A1A"/>
          <w:sz w:val="22"/>
          <w:szCs w:val="22"/>
        </w:rPr>
        <w:t xml:space="preserve">Religion, Nationality, CNIC/B-Form Number (required for Pakistan region)</w:t>
      </w:r>
    </w:p>
    <w:p>
      <w:pPr>
        <w:pStyle w:val="ListParagraph"/>
        <w:numPr>
          <w:ilvl w:val="0"/>
          <w:numId w:val="1"/>
        </w:numPr>
        <w:spacing w:after="60" w:line="312"/>
      </w:pPr>
      <w:r>
        <w:rPr>
          <w:rFonts w:ascii="Calibri" w:eastAsia="Microsoft YaHei"/>
          <w:color w:val="1A1A1A"/>
          <w:sz w:val="22"/>
          <w:szCs w:val="22"/>
        </w:rPr>
        <w:t xml:space="preserve">Address (street, city, province, postal code)</w:t>
      </w:r>
    </w:p>
    <w:p>
      <w:pPr>
        <w:pStyle w:val="ListParagraph"/>
        <w:numPr>
          <w:ilvl w:val="0"/>
          <w:numId w:val="1"/>
        </w:numPr>
        <w:spacing w:after="60" w:line="312"/>
      </w:pPr>
      <w:r>
        <w:rPr>
          <w:rFonts w:ascii="Calibri" w:eastAsia="Microsoft YaHei"/>
          <w:color w:val="1A1A1A"/>
          <w:sz w:val="22"/>
          <w:szCs w:val="22"/>
        </w:rPr>
        <w:t xml:space="preserve">Student Phone (optional, for senior students)</w:t>
      </w:r>
    </w:p>
    <w:p>
      <w:pPr>
        <w:pStyle w:val="ListParagraph"/>
        <w:numPr>
          <w:ilvl w:val="0"/>
          <w:numId w:val="1"/>
        </w:numPr>
        <w:spacing w:after="60" w:line="312"/>
      </w:pPr>
      <w:r>
        <w:rPr>
          <w:rFonts w:ascii="Calibri" w:eastAsia="Microsoft YaHei"/>
          <w:color w:val="1A1A1A"/>
          <w:sz w:val="22"/>
          <w:szCs w:val="22"/>
        </w:rPr>
        <w:t xml:space="preserve">Student Email (optional)</w:t>
      </w:r>
    </w:p>
    <w:p>
      <w:pPr>
        <w:pStyle w:val="Heading3"/>
        <w:spacing w:after="100" w:before="220" w:line="312"/>
      </w:pPr>
      <w:bookmarkStart w:id="100027" w:name="_Toc100027"/>
      <w:r>
        <w:rPr>
          <w:rFonts w:ascii="Calibri" w:eastAsia="SimHei"/>
          <w:b/>
          <w:bCs/>
          <w:color w:val="1A1A1A"/>
          <w:sz w:val="24"/>
          <w:szCs w:val="24"/>
        </w:rPr>
        <w:t xml:space="preserve">7.1.2 Parent/Guardian Details</w:t>
      </w:r>
      <w:bookmarkEnd w:id="100027"/>
    </w:p>
    <w:p>
      <w:pPr>
        <w:pStyle w:val="ListParagraph"/>
        <w:numPr>
          <w:ilvl w:val="0"/>
          <w:numId w:val="1"/>
        </w:numPr>
        <w:spacing w:after="60" w:line="312"/>
      </w:pPr>
      <w:r>
        <w:rPr>
          <w:rFonts w:ascii="Calibri" w:eastAsia="Microsoft YaHei"/>
          <w:color w:val="1A1A1A"/>
          <w:sz w:val="22"/>
          <w:szCs w:val="22"/>
        </w:rPr>
        <w:t xml:space="preserve">Father's Name, Father's CNIC, Father's Phone (required), Father's Occupation</w:t>
      </w:r>
    </w:p>
    <w:p>
      <w:pPr>
        <w:pStyle w:val="ListParagraph"/>
        <w:numPr>
          <w:ilvl w:val="0"/>
          <w:numId w:val="1"/>
        </w:numPr>
        <w:spacing w:after="60" w:line="312"/>
      </w:pPr>
      <w:r>
        <w:rPr>
          <w:rFonts w:ascii="Calibri" w:eastAsia="Microsoft YaHei"/>
          <w:color w:val="1A1A1A"/>
          <w:sz w:val="22"/>
          <w:szCs w:val="22"/>
        </w:rPr>
        <w:t xml:space="preserve">Mother's Name, Mother's CNIC, Mother's Phone, Mother's Occupation</w:t>
      </w:r>
    </w:p>
    <w:p>
      <w:pPr>
        <w:pStyle w:val="ListParagraph"/>
        <w:numPr>
          <w:ilvl w:val="0"/>
          <w:numId w:val="1"/>
        </w:numPr>
        <w:spacing w:after="60" w:line="312"/>
      </w:pPr>
      <w:r>
        <w:rPr>
          <w:rFonts w:ascii="Calibri" w:eastAsia="Microsoft YaHei"/>
          <w:color w:val="1A1A1A"/>
          <w:sz w:val="22"/>
          <w:szCs w:val="22"/>
        </w:rPr>
        <w:t xml:space="preserve">Guardian Name, Guardian Phone, Guardian CNIC, Relationship to Student (used if parents are deceased or unavailable)</w:t>
      </w:r>
    </w:p>
    <w:p>
      <w:pPr>
        <w:pStyle w:val="ListParagraph"/>
        <w:numPr>
          <w:ilvl w:val="0"/>
          <w:numId w:val="1"/>
        </w:numPr>
        <w:spacing w:after="60" w:line="312"/>
      </w:pPr>
      <w:r>
        <w:rPr>
          <w:rFonts w:ascii="Calibri" w:eastAsia="Microsoft YaHei"/>
          <w:color w:val="1A1A1A"/>
          <w:sz w:val="22"/>
          <w:szCs w:val="22"/>
        </w:rPr>
        <w:t xml:space="preserve">Primary Contact — radio selection among Father / Mother / Guardian, used for all SMS and printed communications (field reserved for future SMS gateway integration)</w:t>
      </w:r>
    </w:p>
    <w:p>
      <w:pPr>
        <w:pStyle w:val="Heading3"/>
        <w:spacing w:after="100" w:before="220" w:line="312"/>
      </w:pPr>
      <w:bookmarkStart w:id="100028" w:name="_Toc100028"/>
      <w:r>
        <w:rPr>
          <w:rFonts w:ascii="Calibri" w:eastAsia="SimHei"/>
          <w:b/>
          <w:bCs/>
          <w:color w:val="1A1A1A"/>
          <w:sz w:val="24"/>
          <w:szCs w:val="24"/>
        </w:rPr>
        <w:t xml:space="preserve">7.1.3 Class Assignment</w:t>
      </w:r>
      <w:bookmarkEnd w:id="100028"/>
    </w:p>
    <w:p>
      <w:pPr>
        <w:pStyle w:val="ListParagraph"/>
        <w:numPr>
          <w:ilvl w:val="0"/>
          <w:numId w:val="1"/>
        </w:numPr>
        <w:spacing w:after="60" w:line="312"/>
      </w:pPr>
      <w:r>
        <w:rPr>
          <w:rFonts w:ascii="Calibri" w:eastAsia="Microsoft YaHei"/>
          <w:color w:val="1A1A1A"/>
          <w:sz w:val="22"/>
          <w:szCs w:val="22"/>
        </w:rPr>
        <w:t xml:space="preserve">Class (e.g., Grade 5), Section (e.g., A), Roll Number (auto-assigned within section, configurable to manual)</w:t>
      </w:r>
    </w:p>
    <w:p>
      <w:pPr>
        <w:pStyle w:val="ListParagraph"/>
        <w:numPr>
          <w:ilvl w:val="0"/>
          <w:numId w:val="1"/>
        </w:numPr>
        <w:spacing w:after="60" w:line="312"/>
      </w:pPr>
      <w:r>
        <w:rPr>
          <w:rFonts w:ascii="Calibri" w:eastAsia="Microsoft YaHei"/>
          <w:color w:val="1A1A1A"/>
          <w:sz w:val="22"/>
          <w:szCs w:val="22"/>
        </w:rPr>
        <w:t xml:space="preserve">Admission Date (defaults to today)</w:t>
      </w:r>
    </w:p>
    <w:p>
      <w:pPr>
        <w:pStyle w:val="ListParagraph"/>
        <w:numPr>
          <w:ilvl w:val="0"/>
          <w:numId w:val="1"/>
        </w:numPr>
        <w:spacing w:after="60" w:line="312"/>
      </w:pPr>
      <w:r>
        <w:rPr>
          <w:rFonts w:ascii="Calibri" w:eastAsia="Microsoft YaHei"/>
          <w:color w:val="1A1A1A"/>
          <w:sz w:val="22"/>
          <w:szCs w:val="22"/>
        </w:rPr>
        <w:t xml:space="preserve">Admission Fee Amount (auto-filled from class fee structure, editable)</w:t>
      </w:r>
    </w:p>
    <w:p>
      <w:pPr>
        <w:pStyle w:val="ListParagraph"/>
        <w:numPr>
          <w:ilvl w:val="0"/>
          <w:numId w:val="1"/>
        </w:numPr>
        <w:spacing w:after="60" w:line="312"/>
      </w:pPr>
      <w:r>
        <w:rPr>
          <w:rFonts w:ascii="Calibri" w:eastAsia="Microsoft YaHei"/>
          <w:color w:val="1A1A1A"/>
          <w:sz w:val="22"/>
          <w:szCs w:val="22"/>
        </w:rPr>
        <w:t xml:space="preserve">Student ID — system-generated, format configurable in Settings (default: SCH-YYYY-NNNN, e.g., SCH-2026-0001)</w:t>
      </w:r>
    </w:p>
    <w:p>
      <w:pPr>
        <w:pStyle w:val="Heading2"/>
        <w:spacing w:after="120" w:before="280" w:line="312"/>
      </w:pPr>
      <w:bookmarkStart w:id="100029" w:name="_Toc100029"/>
      <w:r>
        <w:rPr>
          <w:rFonts w:ascii="Calibri" w:eastAsia="SimHei"/>
          <w:b/>
          <w:bCs/>
          <w:color w:val="15857A"/>
          <w:sz w:val="28"/>
          <w:szCs w:val="28"/>
        </w:rPr>
        <w:t xml:space="preserve">7.2 Student Profile View</w:t>
      </w:r>
      <w:bookmarkEnd w:id="100029"/>
    </w:p>
    <w:p>
      <w:pPr>
        <w:spacing w:after="80" w:line="312"/>
        <w:ind w:firstLine="360"/>
        <w:jc w:val="both"/>
      </w:pPr>
      <w:r>
        <w:rPr>
          <w:rFonts w:ascii="Calibri" w:eastAsia="Microsoft YaHei"/>
          <w:color w:val="1A1A1A"/>
          <w:sz w:val="22"/>
          <w:szCs w:val="22"/>
        </w:rPr>
        <w:t xml:space="preserve">Clicking any student in the list opens a tabbed profile view. The first tab shows the personal and parent information; the second tab shows the student's current class, section, roll number, and subject list; the third tab shows fee history (a chronological list of all payments with receipt numbers and amounts); the fourth tab shows attendance summary for the current and previous months; the fifth tab shows examination history with marks and grades per subject; and the sixth tab shows issued certificates. The profile view is the launch point for all student-related actions: collect fee, mark attendance, print ID card, issue certificate, promote, or leave.</w:t>
      </w:r>
    </w:p>
    <w:p>
      <w:pPr>
        <w:pStyle w:val="Heading2"/>
        <w:spacing w:after="120" w:before="280" w:line="312"/>
      </w:pPr>
      <w:bookmarkStart w:id="100030" w:name="_Toc100030"/>
      <w:r>
        <w:rPr>
          <w:rFonts w:ascii="Calibri" w:eastAsia="SimHei"/>
          <w:b/>
          <w:bCs/>
          <w:color w:val="15857A"/>
          <w:sz w:val="28"/>
          <w:szCs w:val="28"/>
        </w:rPr>
        <w:t xml:space="preserve">7.3 Student Promotion</w:t>
      </w:r>
      <w:bookmarkEnd w:id="100030"/>
    </w:p>
    <w:p>
      <w:pPr>
        <w:spacing w:after="80" w:line="312"/>
        <w:ind w:firstLine="360"/>
        <w:jc w:val="both"/>
      </w:pPr>
      <w:r>
        <w:rPr>
          <w:rFonts w:ascii="Calibri" w:eastAsia="Microsoft YaHei"/>
          <w:color w:val="1A1A1A"/>
          <w:sz w:val="22"/>
          <w:szCs w:val="22"/>
        </w:rPr>
        <w:t xml:space="preserve">At the end of each academic session, the Admin performs a bulk promotion of all eligible students to the next class. The promotion screen lists all students in the current session grouped by class, with checkboxes for selection. The Admin selects the destination class for each group (typically Grade 5 → Grade 6), reviews the preview, and confirms. Promotion creates new enrollment records for the next session while preserving the historical records in the current session. Students who failed or are repeating the year can be excluded from the bulk promotion and promoted individually.</w:t>
      </w:r>
    </w:p>
    <w:p>
      <w:pPr>
        <w:pStyle w:val="Heading2"/>
        <w:spacing w:after="120" w:before="280" w:line="312"/>
      </w:pPr>
      <w:bookmarkStart w:id="100031" w:name="_Toc100031"/>
      <w:r>
        <w:rPr>
          <w:rFonts w:ascii="Calibri" w:eastAsia="SimHei"/>
          <w:b/>
          <w:bCs/>
          <w:color w:val="15857A"/>
          <w:sz w:val="28"/>
          <w:szCs w:val="28"/>
        </w:rPr>
        <w:t xml:space="preserve">7.4 Student Transfer &amp; Leaving</w:t>
      </w:r>
      <w:bookmarkEnd w:id="100031"/>
    </w:p>
    <w:p>
      <w:pPr>
        <w:spacing w:after="80" w:line="312"/>
        <w:ind w:firstLine="360"/>
        <w:jc w:val="both"/>
      </w:pPr>
      <w:r>
        <w:rPr>
          <w:rFonts w:ascii="Calibri" w:eastAsia="Microsoft YaHei"/>
          <w:color w:val="1A1A1A"/>
          <w:sz w:val="22"/>
          <w:szCs w:val="22"/>
        </w:rPr>
        <w:t xml:space="preserve">When a student leaves the school — whether transferring to another school or simply discontinuing — the Admin marks the student as Left through the profile view. This action requires a leaving date, a leaving reason (Transfer / Completed / Withdrawal / Expelled), and optionally generates a School Leaving Certificate (printable from the Certificates module). Marking a student as Left excludes them from attendance marking, fee collection, and defaulter lists going forward, but all historical records are preserved. The student record is never deleted; it is only flagged as inactive, ensuring referential integrity for past payments and results.</w:t>
      </w:r>
    </w:p>
    <w:p>
      <w:pPr>
        <w:pStyle w:val="Heading2"/>
        <w:spacing w:after="120" w:before="280" w:line="312"/>
      </w:pPr>
      <w:bookmarkStart w:id="100032" w:name="_Toc100032"/>
      <w:r>
        <w:rPr>
          <w:rFonts w:ascii="Calibri" w:eastAsia="SimHei"/>
          <w:b/>
          <w:bCs/>
          <w:color w:val="15857A"/>
          <w:sz w:val="28"/>
          <w:szCs w:val="28"/>
        </w:rPr>
        <w:t xml:space="preserve">7.5 Search &amp; Filter</w:t>
      </w:r>
      <w:bookmarkEnd w:id="100032"/>
    </w:p>
    <w:p>
      <w:pPr>
        <w:spacing w:after="80" w:line="312"/>
        <w:ind w:firstLine="360"/>
        <w:jc w:val="both"/>
      </w:pPr>
      <w:r>
        <w:rPr>
          <w:rFonts w:ascii="Calibri" w:eastAsia="Microsoft YaHei"/>
          <w:color w:val="1A1A1A"/>
          <w:sz w:val="22"/>
          <w:szCs w:val="22"/>
        </w:rPr>
        <w:t xml:space="preserve">The student list supports a global search box (searches across name, student ID, roll number, father's name, and phone) and a set of filters (class, section, status Active/Left, admission date range). The list uses TanStack Table with virtualized rows for smooth scrolling through thousands of students. Columns are configurable — the user can hide, show, and reorder columns — and the configuration is persisted in the local settings table so it survives app restarts.</w:t>
      </w:r>
    </w:p>
    <w:p>
      <w:pPr>
        <w:pStyle w:val="Heading2"/>
        <w:spacing w:after="120" w:before="280" w:line="312"/>
      </w:pPr>
      <w:bookmarkStart w:id="100033" w:name="_Toc100033"/>
      <w:r>
        <w:rPr>
          <w:rFonts w:ascii="Calibri" w:eastAsia="SimHei"/>
          <w:b/>
          <w:bCs/>
          <w:color w:val="15857A"/>
          <w:sz w:val="28"/>
          <w:szCs w:val="28"/>
        </w:rPr>
        <w:t xml:space="preserve">7.6 Student ID Card with QR Code</w:t>
      </w:r>
      <w:bookmarkEnd w:id="100033"/>
    </w:p>
    <w:p>
      <w:pPr>
        <w:spacing w:after="80" w:line="312"/>
        <w:ind w:firstLine="360"/>
        <w:jc w:val="both"/>
      </w:pPr>
      <w:r>
        <w:rPr>
          <w:rFonts w:ascii="Calibri" w:eastAsia="Microsoft YaHei"/>
          <w:color w:val="1A1A1A"/>
          <w:sz w:val="22"/>
          <w:szCs w:val="22"/>
        </w:rPr>
        <w:t xml:space="preserve">Each student's profile view includes a Print ID Card button that generates a printable student ID card. The card layout is configurable in Settings (single-sided or double-sided, photo position, fields shown) and includes a QR code encoding the student ID. The QR code can be scanned at the fee counter or attendance kiosk (future feature) to instantly pull up the student's record. The card is rendered as a PDF sized to standard ID card dimensions (CR80, 85.6 × 54 mm), printable on a standard ID card printer or on A4 sheets with cut marks for manual cutting.</w:t>
      </w:r>
    </w:p>
    <w:p>
      <w:pPr>
        <w:pStyle w:val="Heading1"/>
        <w:spacing w:after="160" w:before="360" w:line="312"/>
      </w:pPr>
      <w:bookmarkStart w:id="100034" w:name="_Toc100034"/>
      <w:r>
        <w:rPr>
          <w:rFonts w:ascii="Calibri" w:eastAsia="SimHei"/>
          <w:b/>
          <w:bCs/>
          <w:color w:val="15857A"/>
          <w:sz w:val="32"/>
          <w:szCs w:val="32"/>
        </w:rPr>
        <w:t xml:space="preserve">8. Module 3: Teacher Management</w:t>
      </w:r>
      <w:bookmarkEnd w:id="100034"/>
    </w:p>
    <w:p>
      <w:pPr>
        <w:spacing w:after="80" w:line="312"/>
        <w:ind w:firstLine="360"/>
        <w:jc w:val="both"/>
      </w:pPr>
      <w:r>
        <w:rPr>
          <w:rFonts w:ascii="Calibri" w:eastAsia="Microsoft YaHei"/>
          <w:color w:val="1A1A1A"/>
          <w:sz w:val="22"/>
          <w:szCs w:val="22"/>
        </w:rPr>
        <w:t xml:space="preserve">The Teacher Management module stores records for all teaching staff, manages their subject and class assignments, and links to the attendance and salary modules. A teacher record is the foundation for timetable generation (the system needs to know which subjects a teacher can teach), attendance marking (teachers mark attendance for their assigned classes), and salary processing (each teacher has a monthly salary and is subject to attendance-based fine deductions).</w:t>
      </w:r>
    </w:p>
    <w:p>
      <w:pPr>
        <w:pStyle w:val="Heading2"/>
        <w:spacing w:after="120" w:before="280" w:line="312"/>
      </w:pPr>
      <w:bookmarkStart w:id="100035" w:name="_Toc100035"/>
      <w:r>
        <w:rPr>
          <w:rFonts w:ascii="Calibri" w:eastAsia="SimHei"/>
          <w:b/>
          <w:bCs/>
          <w:color w:val="15857A"/>
          <w:sz w:val="28"/>
          <w:szCs w:val="28"/>
        </w:rPr>
        <w:t xml:space="preserve">8.1 Add/Edit Teacher</w:t>
      </w:r>
      <w:bookmarkEnd w:id="100035"/>
    </w:p>
    <w:p>
      <w:pPr>
        <w:spacing w:after="80" w:line="312"/>
        <w:ind w:firstLine="360"/>
        <w:jc w:val="both"/>
      </w:pPr>
      <w:r>
        <w:rPr>
          <w:rFonts w:ascii="Calibri" w:eastAsia="Microsoft YaHei"/>
          <w:color w:val="1A1A1A"/>
          <w:sz w:val="22"/>
          <w:szCs w:val="22"/>
        </w:rPr>
        <w:t xml:space="preserve">The teacher form captures personal information (name, CNIC, date of birth, gender, contact, address), professional information (qualification, years of experience, joining date, employment type: Full-time / Part-time / Visiting), and salary information (monthly salary, allowances, bank account number for payment). The form validates that the CNIC is unique across all teachers and staff, and that the joining date is not in the future. Employment type affects salary calculation: part-time teachers are paid a prorated monthly amount based on the number of classes taught, while full-time teachers receive the fixed monthly salary subject to attendance deductions.</w:t>
      </w:r>
    </w:p>
    <w:p>
      <w:pPr>
        <w:pStyle w:val="Heading2"/>
        <w:spacing w:after="120" w:before="280" w:line="312"/>
      </w:pPr>
      <w:bookmarkStart w:id="100036" w:name="_Toc100036"/>
      <w:r>
        <w:rPr>
          <w:rFonts w:ascii="Calibri" w:eastAsia="SimHei"/>
          <w:b/>
          <w:bCs/>
          <w:color w:val="15857A"/>
          <w:sz w:val="28"/>
          <w:szCs w:val="28"/>
        </w:rPr>
        <w:t xml:space="preserve">8.2 Subject &amp; Class Assignment</w:t>
      </w:r>
      <w:bookmarkEnd w:id="100036"/>
    </w:p>
    <w:p>
      <w:pPr>
        <w:spacing w:after="80" w:line="312"/>
        <w:ind w:firstLine="360"/>
        <w:jc w:val="both"/>
      </w:pPr>
      <w:r>
        <w:rPr>
          <w:rFonts w:ascii="Calibri" w:eastAsia="Microsoft YaHei"/>
          <w:color w:val="1A1A1A"/>
          <w:sz w:val="22"/>
          <w:szCs w:val="22"/>
        </w:rPr>
        <w:t xml:space="preserve">Each teacher is assigned one or more subjects and one or more class-sections. The assignment screen presents a matrix of classes (rows) and subjects (columns), with checkboxes at intersections; the Admin checks the cells where the teacher teaches that subject to that class. This assignment drives three downstream behaviors: the timetable generator uses it to know which teacher can fill each slot, the attendance module shows the teacher only their assigned classes, and the results module allows the teacher to enter marks only for their assigned subjects in their assigned classes. Assignments can be edited at any time during the session without affecting historical data.</w:t>
      </w:r>
    </w:p>
    <w:p>
      <w:pPr>
        <w:pStyle w:val="Heading2"/>
        <w:spacing w:after="120" w:before="280" w:line="312"/>
      </w:pPr>
      <w:bookmarkStart w:id="100037" w:name="_Toc100037"/>
      <w:r>
        <w:rPr>
          <w:rFonts w:ascii="Calibri" w:eastAsia="SimHei"/>
          <w:b/>
          <w:bCs/>
          <w:color w:val="15857A"/>
          <w:sz w:val="28"/>
          <w:szCs w:val="28"/>
        </w:rPr>
        <w:t xml:space="preserve">8.3 Teacher Profile View</w:t>
      </w:r>
      <w:bookmarkEnd w:id="100037"/>
    </w:p>
    <w:p>
      <w:pPr>
        <w:spacing w:after="80" w:line="312"/>
        <w:ind w:firstLine="360"/>
        <w:jc w:val="both"/>
      </w:pPr>
      <w:r>
        <w:rPr>
          <w:rFonts w:ascii="Calibri" w:eastAsia="Microsoft YaHei"/>
          <w:color w:val="1A1A1A"/>
          <w:sz w:val="22"/>
          <w:szCs w:val="22"/>
        </w:rPr>
        <w:t xml:space="preserve">The teacher profile view is tabbed similarly to the student profile. The first tab shows personal and professional information; the second tab shows the current subject and class assignments in the matrix view; the third tab shows the teacher's personal weekly timetable (auto-generated from the Timetable module); the fourth tab shows attendance summary for the current and previous months; and the fifth tab shows salary history with month-by-month slips. The profile view is the launch point for printing a salary slip, editing assignments, or deactivating the teacher.</w:t>
      </w:r>
    </w:p>
    <w:p>
      <w:pPr>
        <w:pStyle w:val="Heading2"/>
        <w:spacing w:after="120" w:before="280" w:line="312"/>
      </w:pPr>
      <w:bookmarkStart w:id="100038" w:name="_Toc100038"/>
      <w:r>
        <w:rPr>
          <w:rFonts w:ascii="Calibri" w:eastAsia="SimHei"/>
          <w:b/>
          <w:bCs/>
          <w:color w:val="15857A"/>
          <w:sz w:val="28"/>
          <w:szCs w:val="28"/>
        </w:rPr>
        <w:t xml:space="preserve">8.4 Teacher Deactivation</w:t>
      </w:r>
      <w:bookmarkEnd w:id="100038"/>
    </w:p>
    <w:p>
      <w:pPr>
        <w:spacing w:after="80" w:line="312"/>
        <w:ind w:firstLine="360"/>
        <w:jc w:val="both"/>
      </w:pPr>
      <w:r>
        <w:rPr>
          <w:rFonts w:ascii="Calibri" w:eastAsia="Microsoft YaHei"/>
          <w:color w:val="1A1A1A"/>
          <w:sz w:val="22"/>
          <w:szCs w:val="22"/>
        </w:rPr>
        <w:t xml:space="preserve">When a teacher leaves the school, the Admin marks them as Inactive with a leaving date and reason. Inactive teachers are excluded from timetable generation, attendance marking, and salary processing going forward, but their historical records (past attendance, past salary slips, past classes taught) are preserved. The system never deletes a teacher record, ensuring referential integrity for past salary payments and result entries.</w:t>
      </w:r>
    </w:p>
    <w:p>
      <w:pPr>
        <w:pStyle w:val="Heading1"/>
        <w:spacing w:after="160" w:before="360" w:line="312"/>
      </w:pPr>
      <w:bookmarkStart w:id="100039" w:name="_Toc100039"/>
      <w:r>
        <w:rPr>
          <w:rFonts w:ascii="Calibri" w:eastAsia="SimHei"/>
          <w:b/>
          <w:bCs/>
          <w:color w:val="15857A"/>
          <w:sz w:val="32"/>
          <w:szCs w:val="32"/>
        </w:rPr>
        <w:t xml:space="preserve">9. Module 4: Staff Management</w:t>
      </w:r>
      <w:bookmarkEnd w:id="100039"/>
    </w:p>
    <w:p>
      <w:pPr>
        <w:spacing w:after="80" w:line="312"/>
        <w:ind w:firstLine="360"/>
        <w:jc w:val="both"/>
      </w:pPr>
      <w:r>
        <w:rPr>
          <w:rFonts w:ascii="Calibri" w:eastAsia="Microsoft YaHei"/>
          <w:color w:val="1A1A1A"/>
          <w:sz w:val="22"/>
          <w:szCs w:val="22"/>
        </w:rPr>
        <w:t xml:space="preserve">The Staff Management module handles all non-teaching employees of the school: administrative staff, accounts staff, librarians, lab assistants, IT staff, security guards, janitors, drivers, and any other support role. The module mirrors the Teacher Management module in structure — same personal information fields, same attendance tracking, same salary processing with attendance-based deductions — but excludes subject and class assignment since staff do not teach.</w:t>
      </w:r>
    </w:p>
    <w:p>
      <w:pPr>
        <w:pStyle w:val="Heading2"/>
        <w:spacing w:after="120" w:before="280" w:line="312"/>
      </w:pPr>
      <w:bookmarkStart w:id="100040" w:name="_Toc100040"/>
      <w:r>
        <w:rPr>
          <w:rFonts w:ascii="Calibri" w:eastAsia="SimHei"/>
          <w:b/>
          <w:bCs/>
          <w:color w:val="15857A"/>
          <w:sz w:val="28"/>
          <w:szCs w:val="28"/>
        </w:rPr>
        <w:t xml:space="preserve">9.1 Add/Edit Staff</w:t>
      </w:r>
      <w:bookmarkEnd w:id="100040"/>
    </w:p>
    <w:p>
      <w:pPr>
        <w:spacing w:after="80" w:line="312"/>
        <w:ind w:firstLine="360"/>
        <w:jc w:val="both"/>
      </w:pPr>
      <w:r>
        <w:rPr>
          <w:rFonts w:ascii="Calibri" w:eastAsia="Microsoft YaHei"/>
          <w:color w:val="1A1A1A"/>
          <w:sz w:val="22"/>
          <w:szCs w:val="22"/>
        </w:rPr>
        <w:t xml:space="preserve">The staff form captures personal information (name, CNIC, date of birth, gender, contact, address), employment information (department, designation, joining date, employment type: Full-time / Part-time / Contract), and salary information (monthly salary, allowances, bank account number). The department is a free-text field with autocomplete from previously entered departments, so common values (Administration, Accounts, Security, Housekeeping, Transport) become quick-pick options over time.</w:t>
      </w:r>
    </w:p>
    <w:p>
      <w:pPr>
        <w:pStyle w:val="Heading2"/>
        <w:spacing w:after="120" w:before="280" w:line="312"/>
      </w:pPr>
      <w:bookmarkStart w:id="100041" w:name="_Toc100041"/>
      <w:r>
        <w:rPr>
          <w:rFonts w:ascii="Calibri" w:eastAsia="SimHei"/>
          <w:b/>
          <w:bCs/>
          <w:color w:val="15857A"/>
          <w:sz w:val="28"/>
          <w:szCs w:val="28"/>
        </w:rPr>
        <w:t xml:space="preserve">9.2 Staff Profile View</w:t>
      </w:r>
      <w:bookmarkEnd w:id="100041"/>
    </w:p>
    <w:p>
      <w:pPr>
        <w:spacing w:after="80" w:line="312"/>
        <w:ind w:firstLine="360"/>
        <w:jc w:val="both"/>
      </w:pPr>
      <w:r>
        <w:rPr>
          <w:rFonts w:ascii="Calibri" w:eastAsia="Microsoft YaHei"/>
          <w:color w:val="1A1A1A"/>
          <w:sz w:val="22"/>
          <w:szCs w:val="22"/>
        </w:rPr>
        <w:t xml:space="preserve">The staff profile view has four tabs: personal information, attendance summary (current and previous months with present/absent/late counts), salary history (month-by-month slips with the breakdown of earnings, deductions, and net pay), and documents (a future feature placeholder for uploading scanned appointment letters and CNIC copies; v1.0 leaves this tab as a placeholder with a "coming soon" message).</w:t>
      </w:r>
    </w:p>
    <w:p>
      <w:pPr>
        <w:pStyle w:val="Heading2"/>
        <w:spacing w:after="120" w:before="280" w:line="312"/>
      </w:pPr>
      <w:bookmarkStart w:id="100042" w:name="_Toc100042"/>
      <w:r>
        <w:rPr>
          <w:rFonts w:ascii="Calibri" w:eastAsia="SimHei"/>
          <w:b/>
          <w:bCs/>
          <w:color w:val="15857A"/>
          <w:sz w:val="28"/>
          <w:szCs w:val="28"/>
        </w:rPr>
        <w:t xml:space="preserve">9.3 Department List</w:t>
      </w:r>
      <w:bookmarkEnd w:id="100042"/>
    </w:p>
    <w:p>
      <w:pPr>
        <w:spacing w:after="80" w:line="312"/>
        <w:ind w:firstLine="360"/>
        <w:jc w:val="both"/>
      </w:pPr>
      <w:r>
        <w:rPr>
          <w:rFonts w:ascii="Calibri" w:eastAsia="Microsoft YaHei"/>
          <w:color w:val="1A1A1A"/>
          <w:sz w:val="22"/>
          <w:szCs w:val="22"/>
        </w:rPr>
        <w:t xml:space="preserve">A side panel lists all departments with staff counts, allowing the Admin to quickly filter the staff list by department. This is useful during salary processing — the Accountant can pull up all Security staff at once to verify their attendance before processing payroll.</w:t>
      </w:r>
    </w:p>
    <w:p>
      <w:pPr>
        <w:pStyle w:val="Heading1"/>
        <w:spacing w:after="160" w:before="360" w:line="312"/>
      </w:pPr>
      <w:bookmarkStart w:id="100043" w:name="_Toc100043"/>
      <w:r>
        <w:rPr>
          <w:rFonts w:ascii="Calibri" w:eastAsia="SimHei"/>
          <w:b/>
          <w:bCs/>
          <w:color w:val="15857A"/>
          <w:sz w:val="32"/>
          <w:szCs w:val="32"/>
        </w:rPr>
        <w:t xml:space="preserve">10. Module 5: Class Management</w:t>
      </w:r>
      <w:bookmarkEnd w:id="100043"/>
    </w:p>
    <w:p>
      <w:pPr>
        <w:spacing w:after="80" w:line="312"/>
        <w:ind w:firstLine="360"/>
        <w:jc w:val="both"/>
      </w:pPr>
      <w:r>
        <w:rPr>
          <w:rFonts w:ascii="Calibri" w:eastAsia="Microsoft YaHei"/>
          <w:color w:val="1A1A1A"/>
          <w:sz w:val="22"/>
          <w:szCs w:val="22"/>
        </w:rPr>
        <w:t xml:space="preserve">The Class Management module defines the academic structure of the school: which classes exist, how each class is divided into sections, which subjects are taught in each class, and which teacher is the class teacher for each section. This structure underpins almost every other module — student enrollment, timetable generation, attendance marking, fee structure definition, and result entry all reference classes and sections.</w:t>
      </w:r>
    </w:p>
    <w:p>
      <w:pPr>
        <w:pStyle w:val="Heading2"/>
        <w:spacing w:after="120" w:before="280" w:line="312"/>
      </w:pPr>
      <w:bookmarkStart w:id="100044" w:name="_Toc100044"/>
      <w:r>
        <w:rPr>
          <w:rFonts w:ascii="Calibri" w:eastAsia="SimHei"/>
          <w:b/>
          <w:bCs/>
          <w:color w:val="15857A"/>
          <w:sz w:val="28"/>
          <w:szCs w:val="28"/>
        </w:rPr>
        <w:t xml:space="preserve">10.1 Classes &amp; Sections</w:t>
      </w:r>
      <w:bookmarkEnd w:id="100044"/>
    </w:p>
    <w:p>
      <w:pPr>
        <w:spacing w:after="80" w:line="312"/>
        <w:ind w:firstLine="360"/>
        <w:jc w:val="both"/>
      </w:pPr>
      <w:r>
        <w:rPr>
          <w:rFonts w:ascii="Calibri" w:eastAsia="Microsoft YaHei"/>
          <w:color w:val="1A1A1A"/>
          <w:sz w:val="22"/>
          <w:szCs w:val="22"/>
        </w:rPr>
        <w:t xml:space="preserve">A class represents an academic grade (e.g., Grade 1, Grade 2, ... Grade 10, Grade 11, Grade 12). Each class can have one or more sections (typically A, B, C, depending on student count). The class creation form captures the class name, the order in the academic ladder (used for promotion), and the default monthly fee for the class (editable per-student during admission). Sections are created within a class and capture the section name and the maximum student capacity (used to warn when a section is full during student assignment).</w:t>
      </w:r>
    </w:p>
    <w:p>
      <w:pPr>
        <w:pStyle w:val="Heading2"/>
        <w:spacing w:after="120" w:before="280" w:line="312"/>
      </w:pPr>
      <w:bookmarkStart w:id="100045" w:name="_Toc100045"/>
      <w:r>
        <w:rPr>
          <w:rFonts w:ascii="Calibri" w:eastAsia="SimHei"/>
          <w:b/>
          <w:bCs/>
          <w:color w:val="15857A"/>
          <w:sz w:val="28"/>
          <w:szCs w:val="28"/>
        </w:rPr>
        <w:t xml:space="preserve">10.2 Subjects per Class</w:t>
      </w:r>
      <w:bookmarkEnd w:id="100045"/>
    </w:p>
    <w:p>
      <w:pPr>
        <w:spacing w:after="80" w:line="312"/>
        <w:ind w:firstLine="360"/>
        <w:jc w:val="both"/>
      </w:pPr>
      <w:r>
        <w:rPr>
          <w:rFonts w:ascii="Calibri" w:eastAsia="Microsoft YaHei"/>
          <w:color w:val="1A1A1A"/>
          <w:sz w:val="22"/>
          <w:szCs w:val="22"/>
        </w:rPr>
        <w:t xml:space="preserve">Each class has a defined set of subjects. The subject assignment screen for a class lists all available subjects (defined once in Settings) with checkboxes; the Admin checks the subjects taught in that class. Each subject-class combination can have a default full marks and pass marks value (e.g., 100/33 for core subjects, 50/20 for supplementary subjects), which is used during marks entry and result generation.</w:t>
      </w:r>
    </w:p>
    <w:p>
      <w:pPr>
        <w:pStyle w:val="Heading2"/>
        <w:spacing w:after="120" w:before="280" w:line="312"/>
      </w:pPr>
      <w:bookmarkStart w:id="100046" w:name="_Toc100046"/>
      <w:r>
        <w:rPr>
          <w:rFonts w:ascii="Calibri" w:eastAsia="SimHei"/>
          <w:b/>
          <w:bCs/>
          <w:color w:val="15857A"/>
          <w:sz w:val="28"/>
          <w:szCs w:val="28"/>
        </w:rPr>
        <w:t xml:space="preserve">10.3 Class Teacher Assignment</w:t>
      </w:r>
      <w:bookmarkEnd w:id="100046"/>
    </w:p>
    <w:p>
      <w:pPr>
        <w:spacing w:after="80" w:line="312"/>
        <w:ind w:firstLine="360"/>
        <w:jc w:val="both"/>
      </w:pPr>
      <w:r>
        <w:rPr>
          <w:rFonts w:ascii="Calibri" w:eastAsia="Microsoft YaHei"/>
          <w:color w:val="1A1A1A"/>
          <w:sz w:val="22"/>
          <w:szCs w:val="22"/>
        </w:rPr>
        <w:t xml:space="preserve">Each section has one assigned class teacher who is responsible for daily attendance marking and is the primary point of contact for parents of students in that section. The assignment screen presents a dropdown of available teachers for each section; only teachers not already assigned as class teacher to another section in the same academic session are shown. The class teacher assignment can be changed mid-session if needed, with the change taking effect immediately for attendance marking (the new teacher sees the section in their list the next time they open the Attendance module).</w:t>
      </w:r>
    </w:p>
    <w:p>
      <w:pPr>
        <w:pStyle w:val="Heading2"/>
        <w:spacing w:after="120" w:before="280" w:line="312"/>
      </w:pPr>
      <w:bookmarkStart w:id="100047" w:name="_Toc100047"/>
      <w:r>
        <w:rPr>
          <w:rFonts w:ascii="Calibri" w:eastAsia="SimHei"/>
          <w:b/>
          <w:bCs/>
          <w:color w:val="15857A"/>
          <w:sz w:val="28"/>
          <w:szCs w:val="28"/>
        </w:rPr>
        <w:t xml:space="preserve">10.4 Student Roster per Class-Section</w:t>
      </w:r>
      <w:bookmarkEnd w:id="100047"/>
    </w:p>
    <w:p>
      <w:pPr>
        <w:spacing w:after="80" w:line="312"/>
        <w:ind w:firstLine="360"/>
        <w:jc w:val="both"/>
      </w:pPr>
      <w:r>
        <w:rPr>
          <w:rFonts w:ascii="Calibri" w:eastAsia="Microsoft YaHei"/>
          <w:color w:val="1A1A1A"/>
          <w:sz w:val="22"/>
          <w:szCs w:val="22"/>
        </w:rPr>
        <w:t xml:space="preserve">Clicking a class-section in the list opens the student roster — a sortable, searchable table of all students currently enrolled in that section. The roster shows roll number, name, parent contact, and a quick-action menu (view profile, collect fee, mark attendance, print ID card). The roster is the daily working view for class teachers and is the default screen when a Teacher logs in and selects their class.</w:t>
      </w:r>
    </w:p>
    <w:p>
      <w:pPr>
        <w:pStyle w:val="Heading1"/>
        <w:spacing w:after="160" w:before="360" w:line="312"/>
      </w:pPr>
      <w:bookmarkStart w:id="100048" w:name="_Toc100048"/>
      <w:r>
        <w:rPr>
          <w:rFonts w:ascii="Calibri" w:eastAsia="SimHei"/>
          <w:b/>
          <w:bCs/>
          <w:color w:val="15857A"/>
          <w:sz w:val="32"/>
          <w:szCs w:val="32"/>
        </w:rPr>
        <w:t xml:space="preserve">11. Module 6: Timetable</w:t>
      </w:r>
      <w:bookmarkEnd w:id="100048"/>
    </w:p>
    <w:p>
      <w:pPr>
        <w:spacing w:after="80" w:line="312"/>
        <w:ind w:firstLine="360"/>
        <w:jc w:val="both"/>
      </w:pPr>
      <w:r>
        <w:rPr>
          <w:rFonts w:ascii="Calibri" w:eastAsia="Microsoft YaHei"/>
          <w:color w:val="1A1A1A"/>
          <w:sz w:val="22"/>
          <w:szCs w:val="22"/>
        </w:rPr>
        <w:t xml:space="preserve">The Timetable module generates and manages the weekly class timetable, assigning a subject, teacher, and classroom to each period in each day for each class-section. The module includes a conflict detection engine that prevents double-booking a teacher or a classroom, and provides both class-wise and teacher-wise timetable views that are printable. This module is new in the v1.0 scope — added based on user feedback that schools currently maintain timetables on paper or in Excel, leading to frequent conflicts when a teacher is reassigned.</w:t>
      </w:r>
    </w:p>
    <w:p>
      <w:pPr>
        <w:pStyle w:val="Heading2"/>
        <w:spacing w:after="120" w:before="280" w:line="312"/>
      </w:pPr>
      <w:bookmarkStart w:id="100049" w:name="_Toc100049"/>
      <w:r>
        <w:rPr>
          <w:rFonts w:ascii="Calibri" w:eastAsia="SimHei"/>
          <w:b/>
          <w:bCs/>
          <w:color w:val="15857A"/>
          <w:sz w:val="28"/>
          <w:szCs w:val="28"/>
        </w:rPr>
        <w:t xml:space="preserve">11.1 Period &amp; Day Structure</w:t>
      </w:r>
      <w:bookmarkEnd w:id="100049"/>
    </w:p>
    <w:p>
      <w:pPr>
        <w:spacing w:after="80" w:line="312"/>
        <w:ind w:firstLine="360"/>
        <w:jc w:val="both"/>
      </w:pPr>
      <w:r>
        <w:rPr>
          <w:rFonts w:ascii="Calibri" w:eastAsia="Microsoft YaHei"/>
          <w:color w:val="1A1A1A"/>
          <w:sz w:val="22"/>
          <w:szCs w:val="22"/>
        </w:rPr>
        <w:t xml:space="preserve">Before creating timetables, the Admin defines the period structure in Settings: how many periods per day (typically 8 for primary, 7 for secondary), the start and end time of each period, the break times (morning break, lunch break), and the working days (Monday to Saturday, with Friday having a shorter schedule for prayers in the Pakistan region). This period structure is shared across all classes; individual timetables reference it.</w:t>
      </w:r>
    </w:p>
    <w:p>
      <w:pPr>
        <w:pStyle w:val="Heading2"/>
        <w:spacing w:after="120" w:before="280" w:line="312"/>
      </w:pPr>
      <w:bookmarkStart w:id="100050" w:name="_Toc100050"/>
      <w:r>
        <w:rPr>
          <w:rFonts w:ascii="Calibri" w:eastAsia="SimHei"/>
          <w:b/>
          <w:bCs/>
          <w:color w:val="15857A"/>
          <w:sz w:val="28"/>
          <w:szCs w:val="28"/>
        </w:rPr>
        <w:t xml:space="preserve">11.2 Timetable Grid</w:t>
      </w:r>
      <w:bookmarkEnd w:id="100050"/>
    </w:p>
    <w:p>
      <w:pPr>
        <w:spacing w:after="80" w:line="312"/>
        <w:ind w:firstLine="360"/>
        <w:jc w:val="both"/>
      </w:pPr>
      <w:r>
        <w:rPr>
          <w:rFonts w:ascii="Calibri" w:eastAsia="Microsoft YaHei"/>
          <w:color w:val="1A1A1A"/>
          <w:sz w:val="22"/>
          <w:szCs w:val="22"/>
        </w:rPr>
        <w:t xml:space="preserve">The timetable editor presents a grid with days as rows and periods as columns for a selected class-section. Each cell in the grid is a dropdown that, when clicked, shows all available (subject, teacher, room) combinations for that period. A combination is available if: the subject is taught in that class, the teacher is assigned to teach that subject to that class, the teacher is not already assigned to another class in that period, and the selected room is not already occupied. The dropdown filters out unavailable combinations, so the Admin can only select conflict-free slots.</w:t>
      </w:r>
    </w:p>
    <w:p>
      <w:pPr>
        <w:pStyle w:val="Heading2"/>
        <w:spacing w:after="120" w:before="280" w:line="312"/>
      </w:pPr>
      <w:bookmarkStart w:id="100051" w:name="_Toc100051"/>
      <w:r>
        <w:rPr>
          <w:rFonts w:ascii="Calibri" w:eastAsia="SimHei"/>
          <w:b/>
          <w:bCs/>
          <w:color w:val="15857A"/>
          <w:sz w:val="28"/>
          <w:szCs w:val="28"/>
        </w:rPr>
        <w:t xml:space="preserve">11.3 Conflict Detection</w:t>
      </w:r>
      <w:bookmarkEnd w:id="100051"/>
    </w:p>
    <w:p>
      <w:pPr>
        <w:spacing w:after="80" w:line="312"/>
        <w:ind w:firstLine="360"/>
        <w:jc w:val="both"/>
      </w:pPr>
      <w:r>
        <w:rPr>
          <w:rFonts w:ascii="Calibri" w:eastAsia="Microsoft YaHei"/>
          <w:color w:val="1A1A1A"/>
          <w:sz w:val="22"/>
          <w:szCs w:val="22"/>
        </w:rPr>
        <w:t xml:space="preserve">The conflict detection engine runs both interactively (when the Admin selects a combination in a cell, the engine immediately checks for conflicts and shows a red border with a tooltip if any are found) and on save (a final validation pass rejects the save with a clear error message listing all conflicts). The three conflict types checked are: teacher double-booking (same teacher assigned to two classes in the same period), room clash (same room assigned to two classes in the same period), and subject overload (a subject assigned more periods in a week than its configured weekly quota).</w:t>
      </w:r>
    </w:p>
    <w:p>
      <w:pPr>
        <w:pStyle w:val="Heading2"/>
        <w:spacing w:after="120" w:before="280" w:line="312"/>
      </w:pPr>
      <w:bookmarkStart w:id="100052" w:name="_Toc100052"/>
      <w:r>
        <w:rPr>
          <w:rFonts w:ascii="Calibri" w:eastAsia="SimHei"/>
          <w:b/>
          <w:bCs/>
          <w:color w:val="15857A"/>
          <w:sz w:val="28"/>
          <w:szCs w:val="28"/>
        </w:rPr>
        <w:t xml:space="preserve">11.4 Data Model</w:t>
      </w:r>
      <w:bookmarkEnd w:id="100052"/>
    </w:p>
    <w:p>
      <w:pPr>
        <w:spacing w:after="80" w:line="312"/>
        <w:ind w:firstLine="360"/>
        <w:jc w:val="both"/>
      </w:pPr>
      <w:r>
        <w:rPr>
          <w:rFonts w:ascii="Calibri" w:eastAsia="Microsoft YaHei"/>
          <w:color w:val="1A1A1A"/>
          <w:sz w:val="22"/>
          <w:szCs w:val="22"/>
        </w:rPr>
        <w:t xml:space="preserve">The timetable is stored in a single timetable_slots table with columns: class_section_id, day_of_week, period_number, subject_id, teacher_id, room, and an optional note (e.g., "Lab session"). Each row represents one slot in one class-section's weekly timetable. A composite unique index on (class_section_id, day_of_week, period_number) ensures one entry per slot, and the application-level conflict detection adds the teacher and room uniqueness constraints.</w:t>
      </w:r>
    </w:p>
    <w:p>
      <w:pPr>
        <w:keepNext/>
        <w:spacing w:after="80" w:before="160"/>
      </w:pPr>
      <w:r>
        <w:rPr>
          <w:rFonts w:ascii="Calibri" w:eastAsia="SimHei"/>
          <w:b/>
          <w:bCs/>
          <w:color w:val="15857A"/>
          <w:sz w:val="21"/>
          <w:szCs w:val="21"/>
        </w:rPr>
        <w:t xml:space="preserve">Table 5: Timetable Slot Fields</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tblGrid>
      <w:tr>
        <w:trPr>
          <w:cantSplit/>
          <w:tblHeader/>
        </w:trPr>
        <w:tc>
          <w:tcPr>
            <w:tcW w:type="pct" w:w="24%"/>
            <w:shd w:fill="15857A" w:val="clear"/>
            <w:tcMar>
              <w:top w:type="dxa" w:w="80"/>
              <w:left w:type="dxa" w:w="120"/>
              <w:bottom w:type="dxa" w:w="80"/>
              <w:right w:type="dxa" w:w="120"/>
            </w:tcMar>
          </w:tcPr>
          <w:p>
            <w:pPr>
              <w:jc w:val="left"/>
            </w:pPr>
            <w:r>
              <w:rPr>
                <w:rFonts w:ascii="Calibri" w:eastAsia="SimHei"/>
                <w:b/>
                <w:bCs/>
                <w:color w:val="FFFFFF"/>
                <w:sz w:val="21"/>
                <w:szCs w:val="21"/>
              </w:rPr>
              <w:t xml:space="preserve">Field</w:t>
            </w:r>
          </w:p>
        </w:tc>
        <w:tc>
          <w:tcPr>
            <w:tcW w:type="pct" w:w="22%"/>
            <w:shd w:fill="15857A" w:val="clear"/>
            <w:tcMar>
              <w:top w:type="dxa" w:w="80"/>
              <w:left w:type="dxa" w:w="120"/>
              <w:bottom w:type="dxa" w:w="80"/>
              <w:right w:type="dxa" w:w="120"/>
            </w:tcMar>
          </w:tcPr>
          <w:p>
            <w:pPr>
              <w:jc w:val="left"/>
            </w:pPr>
            <w:r>
              <w:rPr>
                <w:rFonts w:ascii="Calibri" w:eastAsia="SimHei"/>
                <w:b/>
                <w:bCs/>
                <w:color w:val="FFFFFF"/>
                <w:sz w:val="21"/>
                <w:szCs w:val="21"/>
              </w:rPr>
              <w:t xml:space="preserve">Type</w:t>
            </w:r>
          </w:p>
        </w:tc>
        <w:tc>
          <w:tcPr>
            <w:tcW w:type="pct" w:w="54%"/>
            <w:shd w:fill="15857A" w:val="clear"/>
            <w:tcMar>
              <w:top w:type="dxa" w:w="80"/>
              <w:left w:type="dxa" w:w="120"/>
              <w:bottom w:type="dxa" w:w="80"/>
              <w:right w:type="dxa" w:w="120"/>
            </w:tcMar>
          </w:tcPr>
          <w:p>
            <w:pPr>
              <w:jc w:val="left"/>
            </w:pPr>
            <w:r>
              <w:rPr>
                <w:rFonts w:ascii="Calibri" w:eastAsia="SimHei"/>
                <w:b/>
                <w:bCs/>
                <w:color w:val="FFFFFF"/>
                <w:sz w:val="21"/>
                <w:szCs w:val="21"/>
              </w:rPr>
              <w:t xml:space="preserve">Description</w:t>
            </w:r>
          </w:p>
        </w:tc>
      </w:tr>
      <w:tr>
        <w:trPr>
          <w:cantSplit/>
        </w:trPr>
        <w:tc>
          <w:tcPr>
            <w:tcW w:type="pct" w:w="24%"/>
            <w:tcMar>
              <w:top w:type="dxa" w:w="60"/>
              <w:left w:type="dxa" w:w="120"/>
              <w:bottom w:type="dxa" w:w="60"/>
              <w:right w:type="dxa" w:w="120"/>
            </w:tcMar>
          </w:tcPr>
          <w:p>
            <w:pPr>
              <w:jc w:val="left"/>
            </w:pPr>
            <w:r>
              <w:rPr>
                <w:rFonts w:ascii="Calibri" w:eastAsia="Microsoft YaHei"/>
                <w:color w:val="1A1A1A"/>
                <w:sz w:val="20"/>
                <w:szCs w:val="20"/>
              </w:rPr>
              <w:t xml:space="preserve">class_section_id</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integer (FK)</w:t>
            </w:r>
          </w:p>
        </w:tc>
        <w:tc>
          <w:tcPr>
            <w:tcW w:type="pct" w:w="54%"/>
            <w:tcMar>
              <w:top w:type="dxa" w:w="60"/>
              <w:left w:type="dxa" w:w="120"/>
              <w:bottom w:type="dxa" w:w="60"/>
              <w:right w:type="dxa" w:w="120"/>
            </w:tcMar>
          </w:tcPr>
          <w:p>
            <w:pPr>
              <w:jc w:val="left"/>
            </w:pPr>
            <w:r>
              <w:rPr>
                <w:rFonts w:ascii="Calibri" w:eastAsia="Microsoft YaHei"/>
                <w:color w:val="1A1A1A"/>
                <w:sz w:val="20"/>
                <w:szCs w:val="20"/>
              </w:rPr>
              <w:t xml:space="preserve">Which class-section this slot belongs to</w:t>
            </w:r>
          </w:p>
        </w:tc>
      </w:tr>
      <w:tr>
        <w:trPr>
          <w:cantSplit/>
        </w:trPr>
        <w:tc>
          <w:tcPr>
            <w:tcW w:type="pct" w:w="2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day_of_week</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integer (1–7)</w:t>
            </w:r>
          </w:p>
        </w:tc>
        <w:tc>
          <w:tcPr>
            <w:tcW w:type="pct" w:w="5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Monday = 1, Sunday = 7</w:t>
            </w:r>
          </w:p>
        </w:tc>
      </w:tr>
      <w:tr>
        <w:trPr>
          <w:cantSplit/>
        </w:trPr>
        <w:tc>
          <w:tcPr>
            <w:tcW w:type="pct" w:w="24%"/>
            <w:tcMar>
              <w:top w:type="dxa" w:w="60"/>
              <w:left w:type="dxa" w:w="120"/>
              <w:bottom w:type="dxa" w:w="60"/>
              <w:right w:type="dxa" w:w="120"/>
            </w:tcMar>
          </w:tcPr>
          <w:p>
            <w:pPr>
              <w:jc w:val="left"/>
            </w:pPr>
            <w:r>
              <w:rPr>
                <w:rFonts w:ascii="Calibri" w:eastAsia="Microsoft YaHei"/>
                <w:color w:val="1A1A1A"/>
                <w:sz w:val="20"/>
                <w:szCs w:val="20"/>
              </w:rPr>
              <w:t xml:space="preserve">period_number</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integer (1–8)</w:t>
            </w:r>
          </w:p>
        </w:tc>
        <w:tc>
          <w:tcPr>
            <w:tcW w:type="pct" w:w="54%"/>
            <w:tcMar>
              <w:top w:type="dxa" w:w="60"/>
              <w:left w:type="dxa" w:w="120"/>
              <w:bottom w:type="dxa" w:w="60"/>
              <w:right w:type="dxa" w:w="120"/>
            </w:tcMar>
          </w:tcPr>
          <w:p>
            <w:pPr>
              <w:jc w:val="left"/>
            </w:pPr>
            <w:r>
              <w:rPr>
                <w:rFonts w:ascii="Calibri" w:eastAsia="Microsoft YaHei"/>
                <w:color w:val="1A1A1A"/>
                <w:sz w:val="20"/>
                <w:szCs w:val="20"/>
              </w:rPr>
              <w:t xml:space="preserve">Period index within the day</w:t>
            </w:r>
          </w:p>
        </w:tc>
      </w:tr>
      <w:tr>
        <w:trPr>
          <w:cantSplit/>
        </w:trPr>
        <w:tc>
          <w:tcPr>
            <w:tcW w:type="pct" w:w="2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subject_id</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integer (FK)</w:t>
            </w:r>
          </w:p>
        </w:tc>
        <w:tc>
          <w:tcPr>
            <w:tcW w:type="pct" w:w="5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Subject being taught in this slot</w:t>
            </w:r>
          </w:p>
        </w:tc>
      </w:tr>
      <w:tr>
        <w:trPr>
          <w:cantSplit/>
        </w:trPr>
        <w:tc>
          <w:tcPr>
            <w:tcW w:type="pct" w:w="24%"/>
            <w:tcMar>
              <w:top w:type="dxa" w:w="60"/>
              <w:left w:type="dxa" w:w="120"/>
              <w:bottom w:type="dxa" w:w="60"/>
              <w:right w:type="dxa" w:w="120"/>
            </w:tcMar>
          </w:tcPr>
          <w:p>
            <w:pPr>
              <w:jc w:val="left"/>
            </w:pPr>
            <w:r>
              <w:rPr>
                <w:rFonts w:ascii="Calibri" w:eastAsia="Microsoft YaHei"/>
                <w:color w:val="1A1A1A"/>
                <w:sz w:val="20"/>
                <w:szCs w:val="20"/>
              </w:rPr>
              <w:t xml:space="preserve">teacher_id</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integer (FK, nullable)</w:t>
            </w:r>
          </w:p>
        </w:tc>
        <w:tc>
          <w:tcPr>
            <w:tcW w:type="pct" w:w="54%"/>
            <w:tcMar>
              <w:top w:type="dxa" w:w="60"/>
              <w:left w:type="dxa" w:w="120"/>
              <w:bottom w:type="dxa" w:w="60"/>
              <w:right w:type="dxa" w:w="120"/>
            </w:tcMar>
          </w:tcPr>
          <w:p>
            <w:pPr>
              <w:jc w:val="left"/>
            </w:pPr>
            <w:r>
              <w:rPr>
                <w:rFonts w:ascii="Calibri" w:eastAsia="Microsoft YaHei"/>
                <w:color w:val="1A1A1A"/>
                <w:sz w:val="20"/>
                <w:szCs w:val="20"/>
              </w:rPr>
              <w:t xml:space="preserve">Teacher assigned; nullable for free periods</w:t>
            </w:r>
          </w:p>
        </w:tc>
      </w:tr>
      <w:tr>
        <w:trPr>
          <w:cantSplit/>
        </w:trPr>
        <w:tc>
          <w:tcPr>
            <w:tcW w:type="pct" w:w="2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room</w:t>
            </w:r>
          </w:p>
        </w:tc>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text (nullable)</w:t>
            </w:r>
          </w:p>
        </w:tc>
        <w:tc>
          <w:tcPr>
            <w:tcW w:type="pct" w:w="5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Classroom or lab location</w:t>
            </w:r>
          </w:p>
        </w:tc>
      </w:tr>
      <w:tr>
        <w:trPr>
          <w:cantSplit/>
        </w:trPr>
        <w:tc>
          <w:tcPr>
            <w:tcW w:type="pct" w:w="24%"/>
            <w:tcMar>
              <w:top w:type="dxa" w:w="60"/>
              <w:left w:type="dxa" w:w="120"/>
              <w:bottom w:type="dxa" w:w="60"/>
              <w:right w:type="dxa" w:w="120"/>
            </w:tcMar>
          </w:tcPr>
          <w:p>
            <w:pPr>
              <w:jc w:val="left"/>
            </w:pPr>
            <w:r>
              <w:rPr>
                <w:rFonts w:ascii="Calibri" w:eastAsia="Microsoft YaHei"/>
                <w:color w:val="1A1A1A"/>
                <w:sz w:val="20"/>
                <w:szCs w:val="20"/>
              </w:rPr>
              <w:t xml:space="preserve">note</w:t>
            </w:r>
          </w:p>
        </w:tc>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text (nullable)</w:t>
            </w:r>
          </w:p>
        </w:tc>
        <w:tc>
          <w:tcPr>
            <w:tcW w:type="pct" w:w="54%"/>
            <w:tcMar>
              <w:top w:type="dxa" w:w="60"/>
              <w:left w:type="dxa" w:w="120"/>
              <w:bottom w:type="dxa" w:w="60"/>
              <w:right w:type="dxa" w:w="120"/>
            </w:tcMar>
          </w:tcPr>
          <w:p>
            <w:pPr>
              <w:jc w:val="left"/>
            </w:pPr>
            <w:r>
              <w:rPr>
                <w:rFonts w:ascii="Calibri" w:eastAsia="Microsoft YaHei"/>
                <w:color w:val="1A1A1A"/>
                <w:sz w:val="20"/>
                <w:szCs w:val="20"/>
              </w:rPr>
              <w:t xml:space="preserve">Optional free-text note</w:t>
            </w:r>
          </w:p>
        </w:tc>
      </w:tr>
    </w:tbl>
    <w:p>
      <w:pPr>
        <w:pStyle w:val="Heading2"/>
        <w:spacing w:after="120" w:before="280" w:line="312"/>
      </w:pPr>
      <w:bookmarkStart w:id="100053" w:name="_Toc100053"/>
      <w:r>
        <w:rPr>
          <w:rFonts w:ascii="Calibri" w:eastAsia="SimHei"/>
          <w:b/>
          <w:bCs/>
          <w:color w:val="15857A"/>
          <w:sz w:val="28"/>
          <w:szCs w:val="28"/>
        </w:rPr>
        <w:t xml:space="preserve">11.5 Teacher Timetable View</w:t>
      </w:r>
      <w:bookmarkEnd w:id="100053"/>
    </w:p>
    <w:p>
      <w:pPr>
        <w:spacing w:after="80" w:line="312"/>
        <w:ind w:firstLine="360"/>
        <w:jc w:val="both"/>
      </w:pPr>
      <w:r>
        <w:rPr>
          <w:rFonts w:ascii="Calibri" w:eastAsia="Microsoft YaHei"/>
          <w:color w:val="1A1A1A"/>
          <w:sz w:val="22"/>
          <w:szCs w:val="22"/>
        </w:rPr>
        <w:t xml:space="preserve">In addition to the class-wise timetable, the module provides a teacher-wise view: selecting a teacher shows their personal weekly schedule, with each cell showing the class-section and subject they teach in that period. This view is what a Teacher sees when they open the Timetable module — they see only their own schedule, with no edit rights. The teacher timetable is also printable, useful for handing out at the start of the session.</w:t>
      </w:r>
    </w:p>
    <w:p>
      <w:pPr>
        <w:pStyle w:val="Heading2"/>
        <w:spacing w:after="120" w:before="280" w:line="312"/>
      </w:pPr>
      <w:bookmarkStart w:id="100054" w:name="_Toc100054"/>
      <w:r>
        <w:rPr>
          <w:rFonts w:ascii="Calibri" w:eastAsia="SimHei"/>
          <w:b/>
          <w:bCs/>
          <w:color w:val="15857A"/>
          <w:sz w:val="28"/>
          <w:szCs w:val="28"/>
        </w:rPr>
        <w:t xml:space="preserve">11.6 Print Timetable</w:t>
      </w:r>
      <w:bookmarkEnd w:id="100054"/>
    </w:p>
    <w:p>
      <w:pPr>
        <w:spacing w:after="80" w:line="312"/>
        <w:ind w:firstLine="360"/>
        <w:jc w:val="both"/>
      </w:pPr>
      <w:r>
        <w:rPr>
          <w:rFonts w:ascii="Calibri" w:eastAsia="Microsoft YaHei"/>
          <w:color w:val="1A1A1A"/>
          <w:sz w:val="22"/>
          <w:szCs w:val="22"/>
        </w:rPr>
        <w:t xml:space="preserve">Both the class timetable and the teacher timetable can be printed as PDF. The printed layout includes the school name and logo (from Settings), the class or teacher name as the title, the period times as column headers, the days as row headers, and the subject-teacher-room combination in each cell. The PDF is sized to A4 landscape for readability and uses a clean grid layout with the school's accent color for headers.</w:t>
      </w:r>
    </w:p>
    <w:p>
      <w:pPr>
        <w:pStyle w:val="Heading1"/>
        <w:spacing w:after="160" w:before="360" w:line="312"/>
      </w:pPr>
      <w:bookmarkStart w:id="100055" w:name="_Toc100055"/>
      <w:r>
        <w:rPr>
          <w:rFonts w:ascii="Calibri" w:eastAsia="SimHei"/>
          <w:b/>
          <w:bCs/>
          <w:color w:val="15857A"/>
          <w:sz w:val="32"/>
          <w:szCs w:val="32"/>
        </w:rPr>
        <w:t xml:space="preserve">12. Module 7: Attendance</w:t>
      </w:r>
      <w:bookmarkEnd w:id="100055"/>
    </w:p>
    <w:p>
      <w:pPr>
        <w:spacing w:after="80" w:line="312"/>
        <w:ind w:firstLine="360"/>
        <w:jc w:val="both"/>
      </w:pPr>
      <w:r>
        <w:rPr>
          <w:rFonts w:ascii="Calibri" w:eastAsia="Microsoft YaHei"/>
          <w:color w:val="1A1A1A"/>
          <w:sz w:val="22"/>
          <w:szCs w:val="22"/>
        </w:rPr>
        <w:t xml:space="preserve">The Attendance module handles daily attendance marking for three groups: students, teachers, and staff. The student attendance is marked class-wise by the class teacher or the Admin; the teacher and staff attendance is marked once daily by the Admin or Accountant. All three attendance streams feed the salary fine calculation for the respective group — for teachers and staff, absences directly reduce their monthly salary; for students, absences affect their attendance percentage shown on the result card.</w:t>
      </w:r>
    </w:p>
    <w:p>
      <w:pPr>
        <w:pStyle w:val="Heading2"/>
        <w:spacing w:after="120" w:before="280" w:line="312"/>
      </w:pPr>
      <w:bookmarkStart w:id="100056" w:name="_Toc100056"/>
      <w:r>
        <w:rPr>
          <w:rFonts w:ascii="Calibri" w:eastAsia="SimHei"/>
          <w:b/>
          <w:bCs/>
          <w:color w:val="15857A"/>
          <w:sz w:val="28"/>
          <w:szCs w:val="28"/>
        </w:rPr>
        <w:t xml:space="preserve">12.1 Student Attendance</w:t>
      </w:r>
      <w:bookmarkEnd w:id="100056"/>
    </w:p>
    <w:p>
      <w:pPr>
        <w:spacing w:after="80" w:line="312"/>
        <w:ind w:firstLine="360"/>
        <w:jc w:val="both"/>
      </w:pPr>
      <w:r>
        <w:rPr>
          <w:rFonts w:ascii="Calibri" w:eastAsia="Microsoft YaHei"/>
          <w:color w:val="1A1A1A"/>
          <w:sz w:val="22"/>
          <w:szCs w:val="22"/>
        </w:rPr>
        <w:t xml:space="preserve">The student attendance screen presents a class-section selector and, once a section is selected, a list of all enrolled students with their roll numbers and names. Each row has four radio buttons: Present (default), Absent, Late, and Leave. The class teacher marks attendance by changing the radio for absent, late, or leave students and leaving the rest as present, then clicks Save. The save action writes one row per student to the attendance_students table with the date, student ID, and status. Attendance can be edited later in the day by the Admin if a correction is needed; once the day ends, the attendance is locked and further edits require an explicit "unlock" action by the Admin with a reason recorded in the activity log.</w:t>
      </w:r>
    </w:p>
    <w:p>
      <w:pPr>
        <w:pStyle w:val="Heading3"/>
        <w:spacing w:after="100" w:before="220" w:line="312"/>
      </w:pPr>
      <w:bookmarkStart w:id="100057" w:name="_Toc100057"/>
      <w:r>
        <w:rPr>
          <w:rFonts w:ascii="Calibri" w:eastAsia="SimHei"/>
          <w:b/>
          <w:bCs/>
          <w:color w:val="1A1A1A"/>
          <w:sz w:val="24"/>
          <w:szCs w:val="24"/>
        </w:rPr>
        <w:t xml:space="preserve">12.1.1 Daily Attendance Report</w:t>
      </w:r>
      <w:bookmarkEnd w:id="100057"/>
    </w:p>
    <w:p>
      <w:pPr>
        <w:spacing w:after="80" w:line="312"/>
        <w:ind w:firstLine="360"/>
        <w:jc w:val="both"/>
      </w:pPr>
      <w:r>
        <w:rPr>
          <w:rFonts w:ascii="Calibri" w:eastAsia="Microsoft YaHei"/>
          <w:color w:val="1A1A1A"/>
          <w:sz w:val="22"/>
          <w:szCs w:val="22"/>
        </w:rPr>
        <w:t xml:space="preserve">After attendance is marked, the screen shows a summary: total students, present count, absent count, late count, leave count, and attendance percentage. This summary is printable as a daily attendance report for the class, with the date and class teacher's name. The summary is also visible on the dashboard's Today's Attendance KPI tile (aggregated across all classes).</w:t>
      </w:r>
    </w:p>
    <w:p>
      <w:pPr>
        <w:pStyle w:val="Heading3"/>
        <w:spacing w:after="100" w:before="220" w:line="312"/>
      </w:pPr>
      <w:bookmarkStart w:id="100058" w:name="_Toc100058"/>
      <w:r>
        <w:rPr>
          <w:rFonts w:ascii="Calibri" w:eastAsia="SimHei"/>
          <w:b/>
          <w:bCs/>
          <w:color w:val="1A1A1A"/>
          <w:sz w:val="24"/>
          <w:szCs w:val="24"/>
        </w:rPr>
        <w:t xml:space="preserve">12.1.2 Monthly Attendance Report</w:t>
      </w:r>
      <w:bookmarkEnd w:id="100058"/>
    </w:p>
    <w:p>
      <w:pPr>
        <w:spacing w:after="80" w:line="312"/>
        <w:ind w:firstLine="360"/>
        <w:jc w:val="both"/>
      </w:pPr>
      <w:r>
        <w:rPr>
          <w:rFonts w:ascii="Calibri" w:eastAsia="Microsoft YaHei"/>
          <w:color w:val="1A1A1A"/>
          <w:sz w:val="22"/>
          <w:szCs w:val="22"/>
        </w:rPr>
        <w:t xml:space="preserve">The monthly attendance report shows, for a selected class-section and month, a matrix with students as rows and dates as columns, with each cell showing P / A / L / Lv. The matrix includes totals per student (days present, absent, late, leave) and an attendance percentage. The report is printable as a PDF on A4 landscape and is the source data for the attendance percentage printed on the result card.</w:t>
      </w:r>
    </w:p>
    <w:p>
      <w:pPr>
        <w:pStyle w:val="Heading2"/>
        <w:spacing w:after="120" w:before="280" w:line="312"/>
      </w:pPr>
      <w:bookmarkStart w:id="100059" w:name="_Toc100059"/>
      <w:r>
        <w:rPr>
          <w:rFonts w:ascii="Calibri" w:eastAsia="SimHei"/>
          <w:b/>
          <w:bCs/>
          <w:color w:val="15857A"/>
          <w:sz w:val="28"/>
          <w:szCs w:val="28"/>
        </w:rPr>
        <w:t xml:space="preserve">12.2 Teacher Attendance</w:t>
      </w:r>
      <w:bookmarkEnd w:id="100059"/>
    </w:p>
    <w:p>
      <w:pPr>
        <w:spacing w:after="80" w:line="312"/>
        <w:ind w:firstLine="360"/>
        <w:jc w:val="both"/>
      </w:pPr>
      <w:r>
        <w:rPr>
          <w:rFonts w:ascii="Calibri" w:eastAsia="Microsoft YaHei"/>
          <w:color w:val="1A1A1A"/>
          <w:sz w:val="22"/>
          <w:szCs w:val="22"/>
        </w:rPr>
        <w:t xml:space="preserve">Teacher attendance is marked daily by the Admin or Accountant — teachers do not mark their own attendance. The teacher attendance screen lists all active teachers with five status options: Present, Late, Half-Day, Leave, and Absent. The distinction between these five statuses is critical because each has a different salary implication: Present and Leave (paid leave, if leave balance allows) have no deduction; Late has a fixed deduction configured in Settings; Half-Day deducts half a day's salary; Absent deducts a full day's salary. The detailed deduction rules are defined in Section 13 (Salary &amp; Fine Management).</w:t>
      </w:r>
    </w:p>
    <w:p>
      <w:pPr>
        <w:pStyle w:val="Heading3"/>
        <w:spacing w:after="100" w:before="220" w:line="312"/>
      </w:pPr>
      <w:bookmarkStart w:id="100060" w:name="_Toc100060"/>
      <w:r>
        <w:rPr>
          <w:rFonts w:ascii="Calibri" w:eastAsia="SimHei"/>
          <w:b/>
          <w:bCs/>
          <w:color w:val="1A1A1A"/>
          <w:sz w:val="24"/>
          <w:szCs w:val="24"/>
        </w:rPr>
        <w:t xml:space="preserve">12.2.1 Monthly Summary</w:t>
      </w:r>
      <w:bookmarkEnd w:id="100060"/>
    </w:p>
    <w:p>
      <w:pPr>
        <w:spacing w:after="80" w:line="312"/>
        <w:ind w:firstLine="360"/>
        <w:jc w:val="both"/>
      </w:pPr>
      <w:r>
        <w:rPr>
          <w:rFonts w:ascii="Calibri" w:eastAsia="Microsoft YaHei"/>
          <w:color w:val="1A1A1A"/>
          <w:sz w:val="22"/>
          <w:szCs w:val="22"/>
        </w:rPr>
        <w:t xml:space="preserve">The monthly teacher attendance summary shows, for each teacher, the count of each status across the month and the total deduction amount that will be applied to their salary. This summary is reviewed by the Accountant before processing monthly payroll, and is printable as a PDF for record-keeping.</w:t>
      </w:r>
    </w:p>
    <w:p>
      <w:pPr>
        <w:pStyle w:val="Heading2"/>
        <w:spacing w:after="120" w:before="280" w:line="312"/>
      </w:pPr>
      <w:bookmarkStart w:id="100061" w:name="_Toc100061"/>
      <w:r>
        <w:rPr>
          <w:rFonts w:ascii="Calibri" w:eastAsia="SimHei"/>
          <w:b/>
          <w:bCs/>
          <w:color w:val="15857A"/>
          <w:sz w:val="28"/>
          <w:szCs w:val="28"/>
        </w:rPr>
        <w:t xml:space="preserve">12.3 Staff Attendance</w:t>
      </w:r>
      <w:bookmarkEnd w:id="100061"/>
    </w:p>
    <w:p>
      <w:pPr>
        <w:spacing w:after="80" w:line="312"/>
        <w:ind w:firstLine="360"/>
        <w:jc w:val="both"/>
      </w:pPr>
      <w:r>
        <w:rPr>
          <w:rFonts w:ascii="Calibri" w:eastAsia="Microsoft YaHei"/>
          <w:color w:val="1A1A1A"/>
          <w:sz w:val="22"/>
          <w:szCs w:val="22"/>
        </w:rPr>
        <w:t xml:space="preserve">Staff attendance mirrors teacher attendance in structure and status options (Present, Late, Half-Day, Leave, Absent), with the same salary implications. The staff attendance screen lists all active non-teaching staff. The monthly summary feeds directly into the staff salary processing. To streamline the daily workflow, the Admin can mark all teachers and all staff as Present with a single click on days with no absences, then individually adjust the few who are absent or late — this typically reduces the morning attendance task to under one minute.</w:t>
      </w:r>
    </w:p>
    <w:p>
      <w:pPr>
        <w:pStyle w:val="Heading2"/>
        <w:spacing w:after="120" w:before="280" w:line="312"/>
      </w:pPr>
      <w:bookmarkStart w:id="100062" w:name="_Toc100062"/>
      <w:r>
        <w:rPr>
          <w:rFonts w:ascii="Calibri" w:eastAsia="SimHei"/>
          <w:b/>
          <w:bCs/>
          <w:color w:val="15857A"/>
          <w:sz w:val="28"/>
          <w:szCs w:val="28"/>
        </w:rPr>
        <w:t xml:space="preserve">12.4 Attendance Locking</w:t>
      </w:r>
      <w:bookmarkEnd w:id="100062"/>
    </w:p>
    <w:p>
      <w:pPr>
        <w:spacing w:after="80" w:line="312"/>
        <w:ind w:firstLine="360"/>
        <w:jc w:val="both"/>
      </w:pPr>
      <w:r>
        <w:rPr>
          <w:rFonts w:ascii="Calibri" w:eastAsia="Microsoft YaHei"/>
          <w:color w:val="1A1A1A"/>
          <w:sz w:val="22"/>
          <w:szCs w:val="22"/>
        </w:rPr>
        <w:t xml:space="preserve">To prevent backdated changes that could affect salary calculations, attendance for any past date is locked. The Admin can unlock a past date with an explicit action that records the unlock reason, the unlocking user, and the timestamp in the activity log. This ensures that any backdated attendance change — which would retroactively alter a salary calculation — is auditable. Once salary for a month has been processed and the salary slip has been generated, the attendance for that month is permanently locked and cannot be unlocked without a database-level intervention.</w:t>
      </w:r>
    </w:p>
    <w:p>
      <w:pPr>
        <w:pStyle w:val="Heading1"/>
        <w:spacing w:after="160" w:before="360" w:line="312"/>
      </w:pPr>
      <w:bookmarkStart w:id="100063" w:name="_Toc100063"/>
      <w:r>
        <w:rPr>
          <w:rFonts w:ascii="Calibri" w:eastAsia="SimHei"/>
          <w:b/>
          <w:bCs/>
          <w:color w:val="15857A"/>
          <w:sz w:val="32"/>
          <w:szCs w:val="32"/>
        </w:rPr>
        <w:t xml:space="preserve">13. Module 8: Salary &amp; Fine Management</w:t>
      </w:r>
      <w:bookmarkEnd w:id="100063"/>
    </w:p>
    <w:p>
      <w:pPr>
        <w:spacing w:after="80" w:line="312"/>
        <w:ind w:firstLine="360"/>
        <w:jc w:val="both"/>
      </w:pPr>
      <w:r>
        <w:rPr>
          <w:rFonts w:ascii="Calibri" w:eastAsia="Microsoft YaHei"/>
          <w:color w:val="1A1A1A"/>
          <w:sz w:val="22"/>
          <w:szCs w:val="22"/>
        </w:rPr>
        <w:t xml:space="preserve">The Salary &amp; Fine Management module is one of the most operationally valuable modules in the system. It automatically calculates monthly salaries for teachers and staff, applying attendance-based fine deductions according to configurable rules. Before this module, schools typically calculated salaries manually in Excel at month-end — a process that consumed one to two days of the accountant's time and was prone to errors, especially when adjusting for absenteeism. This module reduces that process to under one hour, with full auditability and printable salary slips.</w:t>
      </w:r>
    </w:p>
    <w:p>
      <w:pPr>
        <w:pStyle w:val="Heading2"/>
        <w:spacing w:after="120" w:before="280" w:line="312"/>
      </w:pPr>
      <w:bookmarkStart w:id="100064" w:name="_Toc100064"/>
      <w:r>
        <w:rPr>
          <w:rFonts w:ascii="Calibri" w:eastAsia="SimHei"/>
          <w:b/>
          <w:bCs/>
          <w:color w:val="15857A"/>
          <w:sz w:val="28"/>
          <w:szCs w:val="28"/>
        </w:rPr>
        <w:t xml:space="preserve">13.1 Salary Components</w:t>
      </w:r>
      <w:bookmarkEnd w:id="100064"/>
    </w:p>
    <w:p>
      <w:pPr>
        <w:spacing w:after="80" w:line="312"/>
        <w:ind w:firstLine="360"/>
        <w:jc w:val="both"/>
      </w:pPr>
      <w:r>
        <w:rPr>
          <w:rFonts w:ascii="Calibri" w:eastAsia="Microsoft YaHei"/>
          <w:color w:val="1A1A1A"/>
          <w:sz w:val="22"/>
          <w:szCs w:val="22"/>
        </w:rPr>
        <w:t xml:space="preserve">Each teacher and staff record has a monthly salary configuration consisting of: basic salary, allowances (house rent, conveyance, medical, etc. — configurable as a list of name-amount pairs), and any recurring deductions (e.g., provident fund, loan installment). The gross monthly salary is the sum of basic salary and all allowances. The net payable salary is gross minus recurring deductions minus attendance-based fines (calculated separately).</w:t>
      </w:r>
    </w:p>
    <w:p>
      <w:pPr>
        <w:pStyle w:val="Heading2"/>
        <w:spacing w:after="120" w:before="280" w:line="312"/>
      </w:pPr>
      <w:bookmarkStart w:id="100065" w:name="_Toc100065"/>
      <w:r>
        <w:rPr>
          <w:rFonts w:ascii="Calibri" w:eastAsia="SimHei"/>
          <w:b/>
          <w:bCs/>
          <w:color w:val="15857A"/>
          <w:sz w:val="28"/>
          <w:szCs w:val="28"/>
        </w:rPr>
        <w:t xml:space="preserve">13.2 Attendance-Based Fine Rules</w:t>
      </w:r>
      <w:bookmarkEnd w:id="100065"/>
    </w:p>
    <w:p>
      <w:pPr>
        <w:spacing w:after="80" w:line="312"/>
        <w:ind w:firstLine="360"/>
        <w:jc w:val="both"/>
      </w:pPr>
      <w:r>
        <w:rPr>
          <w:rFonts w:ascii="Calibri" w:eastAsia="Microsoft YaHei"/>
          <w:color w:val="1A1A1A"/>
          <w:sz w:val="22"/>
          <w:szCs w:val="22"/>
        </w:rPr>
        <w:t xml:space="preserve">The fine rules are configured in Settings and apply uniformly to all teachers and staff (with per-person overrides available if needed). The five rule types and their default values for the Pakistan region are:</w:t>
      </w:r>
    </w:p>
    <w:p>
      <w:pPr>
        <w:keepNext/>
        <w:spacing w:after="80" w:before="160"/>
      </w:pPr>
      <w:r>
        <w:rPr>
          <w:rFonts w:ascii="Calibri" w:eastAsia="SimHei"/>
          <w:b/>
          <w:bCs/>
          <w:color w:val="15857A"/>
          <w:sz w:val="21"/>
          <w:szCs w:val="21"/>
        </w:rPr>
        <w:t xml:space="preserve">Table 6: Default Fine Rules</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gridCol w:w="100"/>
      </w:tblGrid>
      <w:tr>
        <w:trPr>
          <w:cantSplit/>
          <w:tblHeader/>
        </w:trPr>
        <w:tc>
          <w:tcPr>
            <w:tcW w:type="pct" w:w="16%"/>
            <w:shd w:fill="15857A" w:val="clear"/>
            <w:tcMar>
              <w:top w:type="dxa" w:w="80"/>
              <w:left w:type="dxa" w:w="120"/>
              <w:bottom w:type="dxa" w:w="80"/>
              <w:right w:type="dxa" w:w="120"/>
            </w:tcMar>
          </w:tcPr>
          <w:p>
            <w:pPr>
              <w:jc w:val="left"/>
            </w:pPr>
            <w:r>
              <w:rPr>
                <w:rFonts w:ascii="Calibri" w:eastAsia="SimHei"/>
                <w:b/>
                <w:bCs/>
                <w:color w:val="FFFFFF"/>
                <w:sz w:val="21"/>
                <w:szCs w:val="21"/>
              </w:rPr>
              <w:t xml:space="preserve">Status</w:t>
            </w:r>
          </w:p>
        </w:tc>
        <w:tc>
          <w:tcPr>
            <w:tcW w:type="pct" w:w="36%"/>
            <w:shd w:fill="15857A" w:val="clear"/>
            <w:tcMar>
              <w:top w:type="dxa" w:w="80"/>
              <w:left w:type="dxa" w:w="120"/>
              <w:bottom w:type="dxa" w:w="80"/>
              <w:right w:type="dxa" w:w="120"/>
            </w:tcMar>
          </w:tcPr>
          <w:p>
            <w:pPr>
              <w:jc w:val="left"/>
            </w:pPr>
            <w:r>
              <w:rPr>
                <w:rFonts w:ascii="Calibri" w:eastAsia="SimHei"/>
                <w:b/>
                <w:bCs/>
                <w:color w:val="FFFFFF"/>
                <w:sz w:val="21"/>
                <w:szCs w:val="21"/>
              </w:rPr>
              <w:t xml:space="preserve">Description</w:t>
            </w:r>
          </w:p>
        </w:tc>
        <w:tc>
          <w:tcPr>
            <w:tcW w:type="pct" w:w="30%"/>
            <w:shd w:fill="15857A" w:val="clear"/>
            <w:tcMar>
              <w:top w:type="dxa" w:w="80"/>
              <w:left w:type="dxa" w:w="120"/>
              <w:bottom w:type="dxa" w:w="80"/>
              <w:right w:type="dxa" w:w="120"/>
            </w:tcMar>
          </w:tcPr>
          <w:p>
            <w:pPr>
              <w:jc w:val="left"/>
            </w:pPr>
            <w:r>
              <w:rPr>
                <w:rFonts w:ascii="Calibri" w:eastAsia="SimHei"/>
                <w:b/>
                <w:bCs/>
                <w:color w:val="FFFFFF"/>
                <w:sz w:val="21"/>
                <w:szCs w:val="21"/>
              </w:rPr>
              <w:t xml:space="preserve">Default Deduction</w:t>
            </w:r>
          </w:p>
        </w:tc>
        <w:tc>
          <w:tcPr>
            <w:tcW w:type="pct" w:w="18%"/>
            <w:shd w:fill="15857A" w:val="clear"/>
            <w:tcMar>
              <w:top w:type="dxa" w:w="80"/>
              <w:left w:type="dxa" w:w="120"/>
              <w:bottom w:type="dxa" w:w="80"/>
              <w:right w:type="dxa" w:w="120"/>
            </w:tcMar>
          </w:tcPr>
          <w:p>
            <w:pPr>
              <w:jc w:val="left"/>
            </w:pPr>
            <w:r>
              <w:rPr>
                <w:rFonts w:ascii="Calibri" w:eastAsia="SimHei"/>
                <w:b/>
                <w:bCs/>
                <w:color w:val="FFFFFF"/>
                <w:sz w:val="21"/>
                <w:szCs w:val="21"/>
              </w:rPr>
              <w:t xml:space="preserve">Editable</w:t>
            </w:r>
          </w:p>
        </w:tc>
      </w:tr>
      <w:tr>
        <w:trPr>
          <w:cantSplit/>
        </w:trPr>
        <w:tc>
          <w:tcPr>
            <w:tcW w:type="pct" w:w="16%"/>
            <w:tcMar>
              <w:top w:type="dxa" w:w="60"/>
              <w:left w:type="dxa" w:w="120"/>
              <w:bottom w:type="dxa" w:w="60"/>
              <w:right w:type="dxa" w:w="120"/>
            </w:tcMar>
          </w:tcPr>
          <w:p>
            <w:pPr>
              <w:jc w:val="left"/>
            </w:pPr>
            <w:r>
              <w:rPr>
                <w:rFonts w:ascii="Calibri" w:eastAsia="Microsoft YaHei"/>
                <w:color w:val="1A1A1A"/>
                <w:sz w:val="20"/>
                <w:szCs w:val="20"/>
              </w:rPr>
              <w:t xml:space="preserve">Present</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Full working day</w:t>
            </w:r>
          </w:p>
        </w:tc>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No deduction</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No</w:t>
            </w:r>
          </w:p>
        </w:tc>
      </w:tr>
      <w:tr>
        <w:trPr>
          <w:cantSplit/>
        </w:trPr>
        <w:tc>
          <w:tcPr>
            <w:tcW w:type="pct" w:w="1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Late</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Arrived after configured grace time</w:t>
            </w:r>
          </w:p>
        </w:tc>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Rs. 500 per occurrence (fixed)</w:t>
            </w:r>
          </w:p>
        </w:tc>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Yes</w:t>
            </w:r>
          </w:p>
        </w:tc>
      </w:tr>
      <w:tr>
        <w:trPr>
          <w:cantSplit/>
        </w:trPr>
        <w:tc>
          <w:tcPr>
            <w:tcW w:type="pct" w:w="16%"/>
            <w:tcMar>
              <w:top w:type="dxa" w:w="60"/>
              <w:left w:type="dxa" w:w="120"/>
              <w:bottom w:type="dxa" w:w="60"/>
              <w:right w:type="dxa" w:w="120"/>
            </w:tcMar>
          </w:tcPr>
          <w:p>
            <w:pPr>
              <w:jc w:val="left"/>
            </w:pPr>
            <w:r>
              <w:rPr>
                <w:rFonts w:ascii="Calibri" w:eastAsia="Microsoft YaHei"/>
                <w:color w:val="1A1A1A"/>
                <w:sz w:val="20"/>
                <w:szCs w:val="20"/>
              </w:rPr>
              <w:t xml:space="preserve">Half-Day</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Worked half the day</w:t>
            </w:r>
          </w:p>
        </w:tc>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50% of one day's salary</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Yes (percentage)</w:t>
            </w:r>
          </w:p>
        </w:tc>
      </w:tr>
      <w:tr>
        <w:trPr>
          <w:cantSplit/>
        </w:trPr>
        <w:tc>
          <w:tcPr>
            <w:tcW w:type="pct" w:w="1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Leave</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On approved paid leave (if balance available)</w:t>
            </w:r>
          </w:p>
        </w:tc>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No deduction</w:t>
            </w:r>
          </w:p>
        </w:tc>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Yes (paid/unpaid toggle)</w:t>
            </w:r>
          </w:p>
        </w:tc>
      </w:tr>
      <w:tr>
        <w:trPr>
          <w:cantSplit/>
        </w:trPr>
        <w:tc>
          <w:tcPr>
            <w:tcW w:type="pct" w:w="16%"/>
            <w:tcMar>
              <w:top w:type="dxa" w:w="60"/>
              <w:left w:type="dxa" w:w="120"/>
              <w:bottom w:type="dxa" w:w="60"/>
              <w:right w:type="dxa" w:w="120"/>
            </w:tcMar>
          </w:tcPr>
          <w:p>
            <w:pPr>
              <w:jc w:val="left"/>
            </w:pPr>
            <w:r>
              <w:rPr>
                <w:rFonts w:ascii="Calibri" w:eastAsia="Microsoft YaHei"/>
                <w:color w:val="1A1A1A"/>
                <w:sz w:val="20"/>
                <w:szCs w:val="20"/>
              </w:rPr>
              <w:t xml:space="preserve">Absent</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Did not report, no leave approved</w:t>
            </w:r>
          </w:p>
        </w:tc>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100% of one day's salary</w:t>
            </w:r>
          </w:p>
        </w:tc>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No</w:t>
            </w:r>
          </w:p>
        </w:tc>
      </w:tr>
    </w:tbl>
    <w:p>
      <w:pPr>
        <w:spacing w:after="80" w:line="312"/>
        <w:ind w:firstLine="360"/>
        <w:jc w:val="both"/>
      </w:pPr>
      <w:r>
        <w:rPr>
          <w:rFonts w:ascii="Calibri" w:eastAsia="Microsoft YaHei"/>
          <w:color w:val="1A1A1A"/>
          <w:sz w:val="22"/>
          <w:szCs w:val="22"/>
        </w:rPr>
        <w:t xml:space="preserve">The per-day salary is calculated as gross monthly salary divided by the number of working days in the month (not calendar days). Working days exclude Sundays and configured school holidays. This ensures that the deduction for an absence is fair — it deducts the salary for one working day, not one thirtieth of the monthly salary.</w:t>
      </w:r>
    </w:p>
    <w:p>
      <w:pPr>
        <w:pStyle w:val="Heading2"/>
        <w:spacing w:after="120" w:before="280" w:line="312"/>
      </w:pPr>
      <w:bookmarkStart w:id="100066" w:name="_Toc100066"/>
      <w:r>
        <w:rPr>
          <w:rFonts w:ascii="Calibri" w:eastAsia="SimHei"/>
          <w:b/>
          <w:bCs/>
          <w:color w:val="15857A"/>
          <w:sz w:val="28"/>
          <w:szCs w:val="28"/>
        </w:rPr>
        <w:t xml:space="preserve">13.3 Salary Calculation Workflow</w:t>
      </w:r>
      <w:bookmarkEnd w:id="100066"/>
    </w:p>
    <w:p>
      <w:pPr>
        <w:spacing w:after="80" w:line="312"/>
        <w:ind w:firstLine="360"/>
        <w:jc w:val="both"/>
      </w:pPr>
      <w:r>
        <w:rPr>
          <w:rFonts w:ascii="Calibri" w:eastAsia="Microsoft YaHei"/>
          <w:color w:val="1A1A1A"/>
          <w:sz w:val="22"/>
          <w:szCs w:val="22"/>
        </w:rPr>
        <w:t xml:space="preserve">At month-end, the Accountant opens the Salary Processing screen, selects the month, and clicks Calculate All. The system runs the following calculation for each active teacher and staff member:</w:t>
      </w:r>
    </w:p>
    <w:p>
      <w:pPr>
        <w:pStyle w:val="ListParagraph"/>
        <w:numPr>
          <w:ilvl w:val="0"/>
          <w:numId w:val="1"/>
        </w:numPr>
        <w:spacing w:after="60" w:line="312"/>
      </w:pPr>
      <w:r>
        <w:rPr>
          <w:rFonts w:ascii="Calibri" w:eastAsia="Microsoft YaHei"/>
          <w:color w:val="1A1A1A"/>
          <w:sz w:val="22"/>
          <w:szCs w:val="22"/>
        </w:rPr>
        <w:t xml:space="preserve">Retrieve the gross monthly salary (basic + allowances) from the employee record.</w:t>
      </w:r>
    </w:p>
    <w:p>
      <w:pPr>
        <w:pStyle w:val="ListParagraph"/>
        <w:numPr>
          <w:ilvl w:val="0"/>
          <w:numId w:val="1"/>
        </w:numPr>
        <w:spacing w:after="60" w:line="312"/>
      </w:pPr>
      <w:r>
        <w:rPr>
          <w:rFonts w:ascii="Calibri" w:eastAsia="Microsoft YaHei"/>
          <w:color w:val="1A1A1A"/>
          <w:sz w:val="22"/>
          <w:szCs w:val="22"/>
        </w:rPr>
        <w:t xml:space="preserve">Count the working days in the month (calendar days minus Sundays minus school holidays).</w:t>
      </w:r>
    </w:p>
    <w:p>
      <w:pPr>
        <w:pStyle w:val="ListParagraph"/>
        <w:numPr>
          <w:ilvl w:val="0"/>
          <w:numId w:val="1"/>
        </w:numPr>
        <w:spacing w:after="60" w:line="312"/>
      </w:pPr>
      <w:r>
        <w:rPr>
          <w:rFonts w:ascii="Calibri" w:eastAsia="Microsoft YaHei"/>
          <w:color w:val="1A1A1A"/>
          <w:sz w:val="22"/>
          <w:szCs w:val="22"/>
        </w:rPr>
        <w:t xml:space="preserve">Compute per-day salary = gross monthly salary / working days.</w:t>
      </w:r>
    </w:p>
    <w:p>
      <w:pPr>
        <w:pStyle w:val="ListParagraph"/>
        <w:numPr>
          <w:ilvl w:val="0"/>
          <w:numId w:val="1"/>
        </w:numPr>
        <w:spacing w:after="60" w:line="312"/>
      </w:pPr>
      <w:r>
        <w:rPr>
          <w:rFonts w:ascii="Calibri" w:eastAsia="Microsoft YaHei"/>
          <w:color w:val="1A1A1A"/>
          <w:sz w:val="22"/>
          <w:szCs w:val="22"/>
        </w:rPr>
        <w:t xml:space="preserve">Retrieve the employee's attendance for the month from the attendance_staff table.</w:t>
      </w:r>
    </w:p>
    <w:p>
      <w:pPr>
        <w:pStyle w:val="ListParagraph"/>
        <w:numPr>
          <w:ilvl w:val="0"/>
          <w:numId w:val="1"/>
        </w:numPr>
        <w:spacing w:after="60" w:line="312"/>
      </w:pPr>
      <w:r>
        <w:rPr>
          <w:rFonts w:ascii="Calibri" w:eastAsia="Microsoft YaHei"/>
          <w:color w:val="1A1A1A"/>
          <w:sz w:val="22"/>
          <w:szCs w:val="22"/>
        </w:rPr>
        <w:t xml:space="preserve">For each attendance entry, apply the corresponding fine rule: absent days × per-day salary, late occurrences × fixed late fine, half-days × 50% of per-day salary.</w:t>
      </w:r>
    </w:p>
    <w:p>
      <w:pPr>
        <w:pStyle w:val="ListParagraph"/>
        <w:numPr>
          <w:ilvl w:val="0"/>
          <w:numId w:val="1"/>
        </w:numPr>
        <w:spacing w:after="60" w:line="312"/>
      </w:pPr>
      <w:r>
        <w:rPr>
          <w:rFonts w:ascii="Calibri" w:eastAsia="Microsoft YaHei"/>
          <w:color w:val="1A1A1A"/>
          <w:sz w:val="22"/>
          <w:szCs w:val="22"/>
        </w:rPr>
        <w:t xml:space="preserve">Sum all attendance-based deductions.</w:t>
      </w:r>
    </w:p>
    <w:p>
      <w:pPr>
        <w:pStyle w:val="ListParagraph"/>
        <w:numPr>
          <w:ilvl w:val="0"/>
          <w:numId w:val="1"/>
        </w:numPr>
        <w:spacing w:after="60" w:line="312"/>
      </w:pPr>
      <w:r>
        <w:rPr>
          <w:rFonts w:ascii="Calibri" w:eastAsia="Microsoft YaHei"/>
          <w:color w:val="1A1A1A"/>
          <w:sz w:val="22"/>
          <w:szCs w:val="22"/>
        </w:rPr>
        <w:t xml:space="preserve">Add any recurring deductions (provident fund, loan installments) from the employee record.</w:t>
      </w:r>
    </w:p>
    <w:p>
      <w:pPr>
        <w:pStyle w:val="ListParagraph"/>
        <w:numPr>
          <w:ilvl w:val="0"/>
          <w:numId w:val="1"/>
        </w:numPr>
        <w:spacing w:after="60" w:line="312"/>
      </w:pPr>
      <w:r>
        <w:rPr>
          <w:rFonts w:ascii="Calibri" w:eastAsia="Microsoft YaHei"/>
          <w:color w:val="1A1A1A"/>
          <w:sz w:val="22"/>
          <w:szCs w:val="22"/>
        </w:rPr>
        <w:t xml:space="preserve">Add any one-time bonuses or deductions entered by the Accountant for this month (e.g., Diwali bonus, performance incentive).</w:t>
      </w:r>
    </w:p>
    <w:p>
      <w:pPr>
        <w:pStyle w:val="ListParagraph"/>
        <w:numPr>
          <w:ilvl w:val="0"/>
          <w:numId w:val="1"/>
        </w:numPr>
        <w:spacing w:after="60" w:line="312"/>
      </w:pPr>
      <w:r>
        <w:rPr>
          <w:rFonts w:ascii="Calibri" w:eastAsia="Microsoft YaHei"/>
          <w:color w:val="1A1A1A"/>
          <w:sz w:val="22"/>
          <w:szCs w:val="22"/>
        </w:rPr>
        <w:t xml:space="preserve">Compute net payable = gross monthly salary - attendance deductions - recurring deductions - one-time deductions + one-time bonuses.</w:t>
      </w:r>
    </w:p>
    <w:p>
      <w:pPr>
        <w:pStyle w:val="ListParagraph"/>
        <w:numPr>
          <w:ilvl w:val="0"/>
          <w:numId w:val="1"/>
        </w:numPr>
        <w:spacing w:after="60" w:line="312"/>
      </w:pPr>
      <w:r>
        <w:rPr>
          <w:rFonts w:ascii="Calibri" w:eastAsia="Microsoft YaHei"/>
          <w:color w:val="1A1A1A"/>
          <w:sz w:val="22"/>
          <w:szCs w:val="22"/>
        </w:rPr>
        <w:t xml:space="preserve">Generate a salary slip record in the salary_slips table with all components broken down.</w:t>
      </w:r>
    </w:p>
    <w:p>
      <w:pPr>
        <w:spacing w:after="80" w:line="312"/>
        <w:ind w:firstLine="360"/>
        <w:jc w:val="both"/>
      </w:pPr>
      <w:r>
        <w:rPr>
          <w:rFonts w:ascii="Calibri" w:eastAsia="Microsoft YaHei"/>
          <w:color w:val="1A1A1A"/>
          <w:sz w:val="22"/>
          <w:szCs w:val="22"/>
        </w:rPr>
        <w:t xml:space="preserve">The entire calculation for a school with one hundred employees completes in under three seconds. The Accountant reviews the generated slips on screen, makes any manual adjustments (rare), and clicks Finalize to lock the slips for the month. Finalized slips cannot be edited; corrections require a separate adjustment slip in the next month.</w:t>
      </w:r>
    </w:p>
    <w:p>
      <w:pPr>
        <w:pStyle w:val="Heading2"/>
        <w:spacing w:after="120" w:before="280" w:line="312"/>
      </w:pPr>
      <w:bookmarkStart w:id="100067" w:name="_Toc100067"/>
      <w:r>
        <w:rPr>
          <w:rFonts w:ascii="Calibri" w:eastAsia="SimHei"/>
          <w:b/>
          <w:bCs/>
          <w:color w:val="15857A"/>
          <w:sz w:val="28"/>
          <w:szCs w:val="28"/>
        </w:rPr>
        <w:t xml:space="preserve">13.4 Worked Example</w:t>
      </w:r>
      <w:bookmarkEnd w:id="100067"/>
    </w:p>
    <w:p>
      <w:pPr>
        <w:spacing w:after="80" w:line="312"/>
        <w:ind w:firstLine="360"/>
        <w:jc w:val="both"/>
      </w:pPr>
      <w:r>
        <w:rPr>
          <w:rFonts w:ascii="Calibri" w:eastAsia="Microsoft YaHei"/>
          <w:color w:val="1A1A1A"/>
          <w:sz w:val="22"/>
          <w:szCs w:val="22"/>
        </w:rPr>
        <w:t xml:space="preserve">Consider a teacher with a gross monthly salary of Rs. 50,000 in a month with 26 working days. The per-day salary is Rs. 50,000 / 26 = Rs. 1,923 (rounded). Suppose the teacher's attendance for the month shows: 2 absences and 1 late arrival, with a late fine configured at Rs. 500. The deduction calculation is: 2 absences × Rs. 1,923 = Rs. 3,846; 1 late × Rs. 500 = Rs. 500; total deductions = Rs. 4,346. The net payable salary is Rs. 50,000 - Rs. 4,346 = Rs. 45,654. The salary slip shows each component as a line item so the teacher can verify the calculation.</w:t>
      </w:r>
    </w:p>
    <w:p>
      <w:pPr>
        <w:pStyle w:val="Heading2"/>
        <w:spacing w:after="120" w:before="280" w:line="312"/>
      </w:pPr>
      <w:bookmarkStart w:id="100068" w:name="_Toc100068"/>
      <w:r>
        <w:rPr>
          <w:rFonts w:ascii="Calibri" w:eastAsia="SimHei"/>
          <w:b/>
          <w:bCs/>
          <w:color w:val="15857A"/>
          <w:sz w:val="28"/>
          <w:szCs w:val="28"/>
        </w:rPr>
        <w:t xml:space="preserve">13.5 Salary Slip</w:t>
      </w:r>
      <w:bookmarkEnd w:id="100068"/>
    </w:p>
    <w:p>
      <w:pPr>
        <w:spacing w:after="80" w:line="312"/>
        <w:ind w:firstLine="360"/>
        <w:jc w:val="both"/>
      </w:pPr>
      <w:r>
        <w:rPr>
          <w:rFonts w:ascii="Calibri" w:eastAsia="Microsoft YaHei"/>
          <w:color w:val="1A1A1A"/>
          <w:sz w:val="22"/>
          <w:szCs w:val="22"/>
        </w:rPr>
        <w:t xml:space="preserve">Each finalized salary slip is printable as a PDF on A4 portrait. The slip layout includes: school name and logo (from Settings), slip number (auto-generated, format SLIP-YYYYMM-NNN), employee name, designation, department, month, working days, days present, days absent, days late, half-days, per-day salary, gross salary, itemized deductions (attendance breakdown with amounts, recurring deductions, one-time deductions), itemized bonuses, and net payable in figures and words. The slip has a signature line for the employee and for the authorized signatory (principal or accountant).</w:t>
      </w:r>
    </w:p>
    <w:p>
      <w:pPr>
        <w:keepNext/>
        <w:spacing w:after="80" w:before="160"/>
      </w:pPr>
      <w:r>
        <w:rPr>
          <w:rFonts w:ascii="Calibri" w:eastAsia="SimHei"/>
          <w:b/>
          <w:bCs/>
          <w:color w:val="15857A"/>
          <w:sz w:val="21"/>
          <w:szCs w:val="21"/>
        </w:rPr>
        <w:t xml:space="preserve">Table 7: Salary Slip Example Breakdown</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tblGrid>
      <w:tr>
        <w:trPr>
          <w:cantSplit/>
          <w:tblHeader/>
        </w:trPr>
        <w:tc>
          <w:tcPr>
            <w:tcW w:type="pct" w:w="30%"/>
            <w:shd w:fill="15857A" w:val="clear"/>
            <w:tcMar>
              <w:top w:type="dxa" w:w="80"/>
              <w:left w:type="dxa" w:w="120"/>
              <w:bottom w:type="dxa" w:w="80"/>
              <w:right w:type="dxa" w:w="120"/>
            </w:tcMar>
          </w:tcPr>
          <w:p>
            <w:pPr>
              <w:jc w:val="left"/>
            </w:pPr>
            <w:r>
              <w:rPr>
                <w:rFonts w:ascii="Calibri" w:eastAsia="SimHei"/>
                <w:b/>
                <w:bCs/>
                <w:color w:val="FFFFFF"/>
                <w:sz w:val="21"/>
                <w:szCs w:val="21"/>
              </w:rPr>
              <w:t xml:space="preserve">Component</w:t>
            </w:r>
          </w:p>
        </w:tc>
        <w:tc>
          <w:tcPr>
            <w:tcW w:type="pct" w:w="40%"/>
            <w:shd w:fill="15857A" w:val="clear"/>
            <w:tcMar>
              <w:top w:type="dxa" w:w="80"/>
              <w:left w:type="dxa" w:w="120"/>
              <w:bottom w:type="dxa" w:w="80"/>
              <w:right w:type="dxa" w:w="120"/>
            </w:tcMar>
          </w:tcPr>
          <w:p>
            <w:pPr>
              <w:jc w:val="left"/>
            </w:pPr>
            <w:r>
              <w:rPr>
                <w:rFonts w:ascii="Calibri" w:eastAsia="SimHei"/>
                <w:b/>
                <w:bCs/>
                <w:color w:val="FFFFFF"/>
                <w:sz w:val="21"/>
                <w:szCs w:val="21"/>
              </w:rPr>
              <w:t xml:space="preserve">Calculation</w:t>
            </w:r>
          </w:p>
        </w:tc>
        <w:tc>
          <w:tcPr>
            <w:tcW w:type="pct" w:w="30%"/>
            <w:shd w:fill="15857A" w:val="clear"/>
            <w:tcMar>
              <w:top w:type="dxa" w:w="80"/>
              <w:left w:type="dxa" w:w="120"/>
              <w:bottom w:type="dxa" w:w="80"/>
              <w:right w:type="dxa" w:w="120"/>
            </w:tcMar>
          </w:tcPr>
          <w:p>
            <w:pPr>
              <w:jc w:val="left"/>
            </w:pPr>
            <w:r>
              <w:rPr>
                <w:rFonts w:ascii="Calibri" w:eastAsia="SimHei"/>
                <w:b/>
                <w:bCs/>
                <w:color w:val="FFFFFF"/>
                <w:sz w:val="21"/>
                <w:szCs w:val="21"/>
              </w:rPr>
              <w:t xml:space="preserve">Amount (Rs.)</w:t>
            </w:r>
          </w:p>
        </w:tc>
      </w:tr>
      <w:tr>
        <w:trPr>
          <w:cantSplit/>
        </w:trPr>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Gross Monthly Salary</w:t>
            </w:r>
          </w:p>
        </w:tc>
        <w:tc>
          <w:tcPr>
            <w:tcW w:type="pct" w:w="40%"/>
            <w:tcMar>
              <w:top w:type="dxa" w:w="60"/>
              <w:left w:type="dxa" w:w="120"/>
              <w:bottom w:type="dxa" w:w="60"/>
              <w:right w:type="dxa" w:w="120"/>
            </w:tcMar>
          </w:tcPr>
          <w:p>
            <w:pPr>
              <w:jc w:val="left"/>
            </w:pPr>
            <w:r>
              <w:rPr>
                <w:rFonts w:ascii="Calibri" w:eastAsia="Microsoft YaHei"/>
                <w:color w:val="1A1A1A"/>
                <w:sz w:val="20"/>
                <w:szCs w:val="20"/>
              </w:rPr>
              <w:t xml:space="preserve">Basic + Allowances</w:t>
            </w:r>
          </w:p>
        </w:tc>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50,000</w:t>
            </w:r>
          </w:p>
        </w:tc>
      </w:tr>
      <w:tr>
        <w:trPr>
          <w:cantSplit/>
        </w:trPr>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Working Days</w:t>
            </w:r>
          </w:p>
        </w:tc>
        <w:tc>
          <w:tcPr>
            <w:tcW w:type="pct" w:w="4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Calendar - Sundays - Holidays</w:t>
            </w:r>
          </w:p>
        </w:tc>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26</w:t>
            </w:r>
          </w:p>
        </w:tc>
      </w:tr>
      <w:tr>
        <w:trPr>
          <w:cantSplit/>
        </w:trPr>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Per-Day Salary</w:t>
            </w:r>
          </w:p>
        </w:tc>
        <w:tc>
          <w:tcPr>
            <w:tcW w:type="pct" w:w="40%"/>
            <w:tcMar>
              <w:top w:type="dxa" w:w="60"/>
              <w:left w:type="dxa" w:w="120"/>
              <w:bottom w:type="dxa" w:w="60"/>
              <w:right w:type="dxa" w:w="120"/>
            </w:tcMar>
          </w:tcPr>
          <w:p>
            <w:pPr>
              <w:jc w:val="left"/>
            </w:pPr>
            <w:r>
              <w:rPr>
                <w:rFonts w:ascii="Calibri" w:eastAsia="Microsoft YaHei"/>
                <w:color w:val="1A1A1A"/>
                <w:sz w:val="20"/>
                <w:szCs w:val="20"/>
              </w:rPr>
              <w:t xml:space="preserve">50,000 / 26</w:t>
            </w:r>
          </w:p>
        </w:tc>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1,923</w:t>
            </w:r>
          </w:p>
        </w:tc>
      </w:tr>
      <w:tr>
        <w:trPr>
          <w:cantSplit/>
        </w:trPr>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Absence Deduction</w:t>
            </w:r>
          </w:p>
        </w:tc>
        <w:tc>
          <w:tcPr>
            <w:tcW w:type="pct" w:w="4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2 days × 1,923</w:t>
            </w:r>
          </w:p>
        </w:tc>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-3,846</w:t>
            </w:r>
          </w:p>
        </w:tc>
      </w:tr>
      <w:tr>
        <w:trPr>
          <w:cantSplit/>
        </w:trPr>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Late Deduction</w:t>
            </w:r>
          </w:p>
        </w:tc>
        <w:tc>
          <w:tcPr>
            <w:tcW w:type="pct" w:w="40%"/>
            <w:tcMar>
              <w:top w:type="dxa" w:w="60"/>
              <w:left w:type="dxa" w:w="120"/>
              <w:bottom w:type="dxa" w:w="60"/>
              <w:right w:type="dxa" w:w="120"/>
            </w:tcMar>
          </w:tcPr>
          <w:p>
            <w:pPr>
              <w:jc w:val="left"/>
            </w:pPr>
            <w:r>
              <w:rPr>
                <w:rFonts w:ascii="Calibri" w:eastAsia="Microsoft YaHei"/>
                <w:color w:val="1A1A1A"/>
                <w:sz w:val="20"/>
                <w:szCs w:val="20"/>
              </w:rPr>
              <w:t xml:space="preserve">1 occurrence × 500</w:t>
            </w:r>
          </w:p>
        </w:tc>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-500</w:t>
            </w:r>
          </w:p>
        </w:tc>
      </w:tr>
      <w:tr>
        <w:trPr>
          <w:cantSplit/>
        </w:trPr>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Provident Fund</w:t>
            </w:r>
          </w:p>
        </w:tc>
        <w:tc>
          <w:tcPr>
            <w:tcW w:type="pct" w:w="4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Recurring deduction</w:t>
            </w:r>
          </w:p>
        </w:tc>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-2,000</w:t>
            </w:r>
          </w:p>
        </w:tc>
      </w:tr>
      <w:tr>
        <w:trPr>
          <w:cantSplit/>
        </w:trPr>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Performance Bonus</w:t>
            </w:r>
          </w:p>
        </w:tc>
        <w:tc>
          <w:tcPr>
            <w:tcW w:type="pct" w:w="40%"/>
            <w:tcMar>
              <w:top w:type="dxa" w:w="60"/>
              <w:left w:type="dxa" w:w="120"/>
              <w:bottom w:type="dxa" w:w="60"/>
              <w:right w:type="dxa" w:w="120"/>
            </w:tcMar>
          </w:tcPr>
          <w:p>
            <w:pPr>
              <w:jc w:val="left"/>
            </w:pPr>
            <w:r>
              <w:rPr>
                <w:rFonts w:ascii="Calibri" w:eastAsia="Microsoft YaHei"/>
                <w:color w:val="1A1A1A"/>
                <w:sz w:val="20"/>
                <w:szCs w:val="20"/>
              </w:rPr>
              <w:t xml:space="preserve">One-time</w:t>
            </w:r>
          </w:p>
        </w:tc>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+1,000</w:t>
            </w:r>
          </w:p>
        </w:tc>
      </w:tr>
      <w:tr>
        <w:trPr>
          <w:cantSplit/>
        </w:trPr>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Net Payable</w:t>
            </w:r>
          </w:p>
        </w:tc>
        <w:tc>
          <w:tcPr>
            <w:tcW w:type="pct" w:w="4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50,000 - 3,846 - 500 - 2,000 + 1,000</w:t>
            </w:r>
          </w:p>
        </w:tc>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44,654</w:t>
            </w:r>
          </w:p>
        </w:tc>
      </w:tr>
    </w:tbl>
    <w:p>
      <w:pPr>
        <w:pStyle w:val="Heading2"/>
        <w:spacing w:after="120" w:before="280" w:line="312"/>
      </w:pPr>
      <w:bookmarkStart w:id="100069" w:name="_Toc100069"/>
      <w:r>
        <w:rPr>
          <w:rFonts w:ascii="Calibri" w:eastAsia="SimHei"/>
          <w:b/>
          <w:bCs/>
          <w:color w:val="15857A"/>
          <w:sz w:val="28"/>
          <w:szCs w:val="28"/>
        </w:rPr>
        <w:t xml:space="preserve">13.6 Salary Reports</w:t>
      </w:r>
      <w:bookmarkEnd w:id="100069"/>
    </w:p>
    <w:p>
      <w:pPr>
        <w:spacing w:after="80" w:line="312"/>
        <w:ind w:firstLine="360"/>
        <w:jc w:val="both"/>
      </w:pPr>
      <w:r>
        <w:rPr>
          <w:rFonts w:ascii="Calibri" w:eastAsia="Microsoft YaHei"/>
          <w:color w:val="1A1A1A"/>
          <w:sz w:val="22"/>
          <w:szCs w:val="22"/>
        </w:rPr>
        <w:t xml:space="preserve">The module provides three reports: a monthly salary summary (all employees with gross, deductions, and net in one table), a per-employee salary history (all slips for one employee across months), and a fine/deduction report (total deductions grouped by type and employee, useful for analyzing absenteeism patterns). All three reports are printable as PDF and exportable as Excel.</w:t>
      </w:r>
    </w:p>
    <w:p>
      <w:pPr>
        <w:pStyle w:val="Heading1"/>
        <w:spacing w:after="160" w:before="360" w:line="312"/>
      </w:pPr>
      <w:bookmarkStart w:id="100070" w:name="_Toc100070"/>
      <w:r>
        <w:rPr>
          <w:rFonts w:ascii="Calibri" w:eastAsia="SimHei"/>
          <w:b/>
          <w:bCs/>
          <w:color w:val="15857A"/>
          <w:sz w:val="32"/>
          <w:szCs w:val="32"/>
        </w:rPr>
        <w:t xml:space="preserve">14. Module 9: Fee Management</w:t>
      </w:r>
      <w:bookmarkEnd w:id="100070"/>
    </w:p>
    <w:p>
      <w:pPr>
        <w:spacing w:after="80" w:line="312"/>
        <w:ind w:firstLine="360"/>
        <w:jc w:val="both"/>
      </w:pPr>
      <w:r>
        <w:rPr>
          <w:rFonts w:ascii="Calibri" w:eastAsia="Microsoft YaHei"/>
          <w:color w:val="1A1A1A"/>
          <w:sz w:val="22"/>
          <w:szCs w:val="22"/>
        </w:rPr>
        <w:t xml:space="preserve">The Fee Management module handles the definition of fee structures and the daily collection of fees from students. It is the most frequently used module after the Dashboard — the Accountant uses it dozens of times per day during peak fee collection periods. The module is optimized for speed: from the moment the Accountant opens the Fee Collection screen to the moment the receipt is printed, the entire workflow is designed to take under thirty seconds per student.</w:t>
      </w:r>
    </w:p>
    <w:p>
      <w:pPr>
        <w:pStyle w:val="Heading2"/>
        <w:spacing w:after="120" w:before="280" w:line="312"/>
      </w:pPr>
      <w:bookmarkStart w:id="100071" w:name="_Toc100071"/>
      <w:r>
        <w:rPr>
          <w:rFonts w:ascii="Calibri" w:eastAsia="SimHei"/>
          <w:b/>
          <w:bCs/>
          <w:color w:val="15857A"/>
          <w:sz w:val="28"/>
          <w:szCs w:val="28"/>
        </w:rPr>
        <w:t xml:space="preserve">14.1 Fee Structure</w:t>
      </w:r>
      <w:bookmarkEnd w:id="100071"/>
    </w:p>
    <w:p>
      <w:pPr>
        <w:spacing w:after="80" w:line="312"/>
        <w:ind w:firstLine="360"/>
        <w:jc w:val="both"/>
      </w:pPr>
      <w:r>
        <w:rPr>
          <w:rFonts w:ascii="Calibri" w:eastAsia="Microsoft YaHei"/>
          <w:color w:val="1A1A1A"/>
          <w:sz w:val="22"/>
          <w:szCs w:val="22"/>
        </w:rPr>
        <w:t xml:space="preserve">The fee structure is defined per class in Settings and consists of multiple fee types, each with its own amount. The default fee types are: Admission Fee (one-time, collected at admission), Monthly Tuition Fee (recurring, collected each month), Exam Fee (collected per term before exams), Transport Fee (optional, for students using school transport), and Other Charges (configurable — for library security deposit, sports fee, etc.). Each fee type has an amount and a frequency (one-time, monthly, per-term, annual). The fee structure can be overridden per student during admission (e.g., a sibling discount or a scholarship waiver).</w:t>
      </w:r>
    </w:p>
    <w:p>
      <w:pPr>
        <w:pStyle w:val="Heading2"/>
        <w:spacing w:after="120" w:before="280" w:line="312"/>
      </w:pPr>
      <w:bookmarkStart w:id="100072" w:name="_Toc100072"/>
      <w:r>
        <w:rPr>
          <w:rFonts w:ascii="Calibri" w:eastAsia="SimHei"/>
          <w:b/>
          <w:bCs/>
          <w:color w:val="15857A"/>
          <w:sz w:val="28"/>
          <w:szCs w:val="28"/>
        </w:rPr>
        <w:t xml:space="preserve">14.2 Fee Collection Workflow</w:t>
      </w:r>
      <w:bookmarkEnd w:id="100072"/>
    </w:p>
    <w:p>
      <w:pPr>
        <w:spacing w:after="80" w:line="312"/>
        <w:ind w:firstLine="360"/>
        <w:jc w:val="both"/>
      </w:pPr>
      <w:r>
        <w:rPr>
          <w:rFonts w:ascii="Calibri" w:eastAsia="Microsoft YaHei"/>
          <w:color w:val="1A1A1A"/>
          <w:sz w:val="22"/>
          <w:szCs w:val="22"/>
        </w:rPr>
        <w:t xml:space="preserve">The Fee Collection screen is the Accountant's primary working screen. It opens with the cursor focused on a student search box; the Accountant types a roll number, name, or phone number, selects the matching student from the dropdown, and the screen displays the student's outstanding fees for the current month (and any previous unpaid months). The Accountant checks the fees being paid (one or more), enters the amount received (defaulting to the full outstanding amount, editable for partial payments), selects the payment mode (Cash, Cheque, Bank Transfer, Other), and clicks Collect. The system generates a receipt number (format RCPT-YYYYMMDD-NNN, sequential per day), writes a row to the fee_collections table, updates the student's outstanding balance, and immediately displays a printable receipt preview.</w:t>
      </w:r>
    </w:p>
    <w:p>
      <w:pPr>
        <w:pStyle w:val="Heading2"/>
        <w:spacing w:after="120" w:before="280" w:line="312"/>
      </w:pPr>
      <w:bookmarkStart w:id="100073" w:name="_Toc100073"/>
      <w:r>
        <w:rPr>
          <w:rFonts w:ascii="Calibri" w:eastAsia="SimHei"/>
          <w:b/>
          <w:bCs/>
          <w:color w:val="15857A"/>
          <w:sz w:val="28"/>
          <w:szCs w:val="28"/>
        </w:rPr>
        <w:t xml:space="preserve">14.3 Fee Receipt</w:t>
      </w:r>
      <w:bookmarkEnd w:id="100073"/>
    </w:p>
    <w:p>
      <w:pPr>
        <w:spacing w:after="80" w:line="312"/>
        <w:ind w:firstLine="360"/>
        <w:jc w:val="both"/>
      </w:pPr>
      <w:r>
        <w:rPr>
          <w:rFonts w:ascii="Calibri" w:eastAsia="Microsoft YaHei"/>
          <w:color w:val="1A1A1A"/>
          <w:sz w:val="22"/>
          <w:szCs w:val="22"/>
        </w:rPr>
        <w:t xml:space="preserve">The fee receipt is printable as a PDF on A5 (half A4) paper, suitable for both laser and thermal receipt printers. The receipt layout includes: school name and logo, receipt number, receipt date, student name, class-section, roll number, parent name, itemized fees paid with amounts, payment mode, total amount in figures and words, received-by (accountant name), and a signature line. The receipt uses the school's accent color for the header band and includes a small QR code encoding the receipt number (for future scanning to verify authenticity).</w:t>
      </w:r>
    </w:p>
    <w:p>
      <w:pPr>
        <w:pStyle w:val="Heading2"/>
        <w:spacing w:after="120" w:before="280" w:line="312"/>
      </w:pPr>
      <w:bookmarkStart w:id="100074" w:name="_Toc100074"/>
      <w:r>
        <w:rPr>
          <w:rFonts w:ascii="Calibri" w:eastAsia="SimHei"/>
          <w:b/>
          <w:bCs/>
          <w:color w:val="15857A"/>
          <w:sz w:val="28"/>
          <w:szCs w:val="28"/>
        </w:rPr>
        <w:t xml:space="preserve">14.4 Discounts &amp; Waivers</w:t>
      </w:r>
      <w:bookmarkEnd w:id="100074"/>
    </w:p>
    <w:p>
      <w:pPr>
        <w:spacing w:after="80" w:line="312"/>
        <w:ind w:firstLine="360"/>
        <w:jc w:val="both"/>
      </w:pPr>
      <w:r>
        <w:rPr>
          <w:rFonts w:ascii="Calibri" w:eastAsia="Microsoft YaHei"/>
          <w:color w:val="1A1A1A"/>
          <w:sz w:val="22"/>
          <w:szCs w:val="22"/>
        </w:rPr>
        <w:t xml:space="preserve">The Accountant can apply a discount or waiver to a student's fee at collection time. Discounts can be a fixed amount or a percentage, and require a reason (sibling discount, scholarship, staff child, financial hardship). Waivers set the fee amount to zero with the same reason field. All discounts and waivers are recorded against the payment and are visible in the fee history report, ensuring transparency. Recurring discounts (e.g., staff child discount) can be configured at the student level so they apply automatically each month.</w:t>
      </w:r>
    </w:p>
    <w:p>
      <w:pPr>
        <w:pStyle w:val="Heading2"/>
        <w:spacing w:after="120" w:before="280" w:line="312"/>
      </w:pPr>
      <w:bookmarkStart w:id="100075" w:name="_Toc100075"/>
      <w:r>
        <w:rPr>
          <w:rFonts w:ascii="Calibri" w:eastAsia="SimHei"/>
          <w:b/>
          <w:bCs/>
          <w:color w:val="15857A"/>
          <w:sz w:val="28"/>
          <w:szCs w:val="28"/>
        </w:rPr>
        <w:t xml:space="preserve">14.5 Payment History</w:t>
      </w:r>
      <w:bookmarkEnd w:id="100075"/>
    </w:p>
    <w:p>
      <w:pPr>
        <w:spacing w:after="80" w:line="312"/>
        <w:ind w:firstLine="360"/>
        <w:jc w:val="both"/>
      </w:pPr>
      <w:r>
        <w:rPr>
          <w:rFonts w:ascii="Calibri" w:eastAsia="Microsoft YaHei"/>
          <w:color w:val="1A1A1A"/>
          <w:sz w:val="22"/>
          <w:szCs w:val="22"/>
        </w:rPr>
        <w:t xml:space="preserve">Each student's profile view shows a complete payment history — a chronological list of every fee payment made, with receipt number, date, fees paid, amount, payment mode, and a Print Receipt button to reprint any past receipt. The history is also filterable by date range and fee type, and exportable to Excel for accounting reconciliation.</w:t>
      </w:r>
    </w:p>
    <w:p>
      <w:pPr>
        <w:pStyle w:val="Heading2"/>
        <w:spacing w:after="120" w:before="280" w:line="312"/>
      </w:pPr>
      <w:bookmarkStart w:id="100076" w:name="_Toc100076"/>
      <w:r>
        <w:rPr>
          <w:rFonts w:ascii="Calibri" w:eastAsia="SimHei"/>
          <w:b/>
          <w:bCs/>
          <w:color w:val="15857A"/>
          <w:sz w:val="28"/>
          <w:szCs w:val="28"/>
        </w:rPr>
        <w:t xml:space="preserve">14.6 Fee Settings</w:t>
      </w:r>
      <w:bookmarkEnd w:id="100076"/>
    </w:p>
    <w:p>
      <w:pPr>
        <w:spacing w:after="80" w:line="312"/>
        <w:ind w:firstLine="360"/>
        <w:jc w:val="both"/>
      </w:pPr>
      <w:r>
        <w:rPr>
          <w:rFonts w:ascii="Calibri" w:eastAsia="Microsoft YaHei"/>
          <w:color w:val="1A1A1A"/>
          <w:sz w:val="22"/>
          <w:szCs w:val="22"/>
        </w:rPr>
        <w:t xml:space="preserve">The fee-related settings, configured by the Admin in the Settings module, include: the fee due date each month (e.g., the 10th of the month), the late fee amount applied after the due date (fixed or percentage of outstanding), the receipt number prefix and starting sequence, the receipt paper size (A5 or thermal 80mm), and whether partial payments are allowed (some schools require full-month payment only).</w:t>
      </w:r>
    </w:p>
    <w:p>
      <w:pPr>
        <w:pStyle w:val="Heading1"/>
        <w:spacing w:after="160" w:before="360" w:line="312"/>
      </w:pPr>
      <w:bookmarkStart w:id="100077" w:name="_Toc100077"/>
      <w:r>
        <w:rPr>
          <w:rFonts w:ascii="Calibri" w:eastAsia="SimHei"/>
          <w:b/>
          <w:bCs/>
          <w:color w:val="15857A"/>
          <w:sz w:val="32"/>
          <w:szCs w:val="32"/>
        </w:rPr>
        <w:t xml:space="preserve">15. Module 10: Fee Defaulter Module</w:t>
      </w:r>
      <w:bookmarkEnd w:id="100077"/>
    </w:p>
    <w:p>
      <w:pPr>
        <w:spacing w:after="80" w:line="312"/>
        <w:ind w:firstLine="360"/>
        <w:jc w:val="both"/>
      </w:pPr>
      <w:r>
        <w:rPr>
          <w:rFonts w:ascii="Calibri" w:eastAsia="Microsoft YaHei"/>
          <w:color w:val="1A1A1A"/>
          <w:sz w:val="22"/>
          <w:szCs w:val="22"/>
        </w:rPr>
        <w:t xml:space="preserve">The Fee Defaulter module automatically identifies students whose fees are unpaid past the configured due date and presents them in a filterable, printable list. This module directly addresses one of the most painful manual tasks in school administration — the month-end defaulter list that previously required scanning every register and was often outdated by the time it was compiled. With this module, the defaulter list is generated in real time, accurate to the second, and printable in one click.</w:t>
      </w:r>
    </w:p>
    <w:p>
      <w:pPr>
        <w:pStyle w:val="Heading2"/>
        <w:spacing w:after="120" w:before="280" w:line="312"/>
      </w:pPr>
      <w:bookmarkStart w:id="100078" w:name="_Toc100078"/>
      <w:r>
        <w:rPr>
          <w:rFonts w:ascii="Calibri" w:eastAsia="SimHei"/>
          <w:b/>
          <w:bCs/>
          <w:color w:val="15857A"/>
          <w:sz w:val="28"/>
          <w:szCs w:val="28"/>
        </w:rPr>
        <w:t xml:space="preserve">15.1 Defaulter Detection Logic</w:t>
      </w:r>
      <w:bookmarkEnd w:id="100078"/>
    </w:p>
    <w:p>
      <w:pPr>
        <w:spacing w:after="80" w:line="312"/>
        <w:ind w:firstLine="360"/>
        <w:jc w:val="both"/>
      </w:pPr>
      <w:r>
        <w:rPr>
          <w:rFonts w:ascii="Calibri" w:eastAsia="Microsoft YaHei"/>
          <w:color w:val="1A1A1A"/>
          <w:sz w:val="22"/>
          <w:szCs w:val="22"/>
        </w:rPr>
        <w:t xml:space="preserve">A student is considered a defaulter for a given month if: the monthly tuition fee for that month is unpaid, the current date is past the configured due date for that month, and the student is still Active (not Left). The detection runs as a SQL query against the fee_collections and fee_structures tables, joining with the students table to filter by status. The query is fast (under 200ms for one thousand students) and is executed on every open of the Defaulter List screen, ensuring the list always reflects the latest payment state.</w:t>
      </w:r>
    </w:p>
    <w:p>
      <w:pPr>
        <w:pStyle w:val="Heading2"/>
        <w:spacing w:after="120" w:before="280" w:line="312"/>
      </w:pPr>
      <w:bookmarkStart w:id="100079" w:name="_Toc100079"/>
      <w:r>
        <w:rPr>
          <w:rFonts w:ascii="Calibri" w:eastAsia="SimHei"/>
          <w:b/>
          <w:bCs/>
          <w:color w:val="15857A"/>
          <w:sz w:val="28"/>
          <w:szCs w:val="28"/>
        </w:rPr>
        <w:t xml:space="preserve">15.2 Defaulter List View</w:t>
      </w:r>
      <w:bookmarkEnd w:id="100079"/>
    </w:p>
    <w:p>
      <w:pPr>
        <w:spacing w:after="80" w:line="312"/>
        <w:ind w:firstLine="360"/>
        <w:jc w:val="both"/>
      </w:pPr>
      <w:r>
        <w:rPr>
          <w:rFonts w:ascii="Calibri" w:eastAsia="Microsoft YaHei"/>
          <w:color w:val="1A1A1A"/>
          <w:sz w:val="22"/>
          <w:szCs w:val="22"/>
        </w:rPr>
        <w:t xml:space="preserve">The defaulter list view presents a table with columns: student name, roll number, class-section, parent name, parent phone, unpaid month(s), outstanding amount, and days overdue. The table supports filtering by class (one or multiple), by month (single month or range), and by minimum outstanding amount (to filter out trivial amounts). Sorting is available on every column. The default sort is by outstanding amount descending, so the largest defaulters appear at the top. A summary bar at the top shows the total count of defaulters and the total outstanding amount.</w:t>
      </w:r>
    </w:p>
    <w:p>
      <w:pPr>
        <w:pStyle w:val="Heading2"/>
        <w:spacing w:after="120" w:before="280" w:line="312"/>
      </w:pPr>
      <w:bookmarkStart w:id="100080" w:name="_Toc100080"/>
      <w:r>
        <w:rPr>
          <w:rFonts w:ascii="Calibri" w:eastAsia="SimHei"/>
          <w:b/>
          <w:bCs/>
          <w:color w:val="15857A"/>
          <w:sz w:val="28"/>
          <w:szCs w:val="28"/>
        </w:rPr>
        <w:t xml:space="preserve">15.3 Print &amp; Export</w:t>
      </w:r>
      <w:bookmarkEnd w:id="100080"/>
    </w:p>
    <w:p>
      <w:pPr>
        <w:spacing w:after="80" w:line="312"/>
        <w:ind w:firstLine="360"/>
        <w:jc w:val="both"/>
      </w:pPr>
      <w:r>
        <w:rPr>
          <w:rFonts w:ascii="Calibri" w:eastAsia="Microsoft YaHei"/>
          <w:color w:val="1A1A1A"/>
          <w:sz w:val="22"/>
          <w:szCs w:val="22"/>
        </w:rPr>
        <w:t xml:space="preserve">The defaulter list is printable as a PDF on A4 portrait, with the school header, the filter criteria shown at the top (e.g., "Defaulters for June 2026, All Classes"), the table of defaulters, and the total outstanding at the bottom. The PDF is suitable for posting on the school notice board or sharing with the principal. The list is also exportable to Excel for further analysis or for sharing with collection agents. A future v2.0 enhancement will add one-click SMS reminders to all defaulters (the phone numbers are already in the data).</w:t>
      </w:r>
    </w:p>
    <w:p>
      <w:pPr>
        <w:pStyle w:val="Heading2"/>
        <w:spacing w:after="120" w:before="280" w:line="312"/>
      </w:pPr>
      <w:bookmarkStart w:id="100081" w:name="_Toc100081"/>
      <w:r>
        <w:rPr>
          <w:rFonts w:ascii="Calibri" w:eastAsia="SimHei"/>
          <w:b/>
          <w:bCs/>
          <w:color w:val="15857A"/>
          <w:sz w:val="28"/>
          <w:szCs w:val="28"/>
        </w:rPr>
        <w:t xml:space="preserve">15.4 Dashboard Integration</w:t>
      </w:r>
      <w:bookmarkEnd w:id="100081"/>
    </w:p>
    <w:p>
      <w:pPr>
        <w:spacing w:after="80" w:line="312"/>
        <w:ind w:firstLine="360"/>
        <w:jc w:val="both"/>
      </w:pPr>
      <w:r>
        <w:rPr>
          <w:rFonts w:ascii="Calibri" w:eastAsia="Microsoft YaHei"/>
          <w:color w:val="1A1A1A"/>
          <w:sz w:val="22"/>
          <w:szCs w:val="22"/>
        </w:rPr>
        <w:t xml:space="preserve">The Dashboard's Fee Defaulters KPI tile shows the count of defaulters for the immediately previous month (the current month is not yet past due). Clicking the tile navigates directly to the Defaulter List screen with the previous month pre-selected, providing a one-click path from the morning dashboard view to the actionable defaulter list.</w:t>
      </w:r>
    </w:p>
    <w:p>
      <w:pPr>
        <w:pStyle w:val="Heading1"/>
        <w:spacing w:after="160" w:before="360" w:line="312"/>
      </w:pPr>
      <w:bookmarkStart w:id="100082" w:name="_Toc100082"/>
      <w:r>
        <w:rPr>
          <w:rFonts w:ascii="Calibri" w:eastAsia="SimHei"/>
          <w:b/>
          <w:bCs/>
          <w:color w:val="15857A"/>
          <w:sz w:val="32"/>
          <w:szCs w:val="32"/>
        </w:rPr>
        <w:t xml:space="preserve">16. Module 11: Examination &amp; Results</w:t>
      </w:r>
      <w:bookmarkEnd w:id="100082"/>
    </w:p>
    <w:p>
      <w:pPr>
        <w:spacing w:after="80" w:line="312"/>
        <w:ind w:firstLine="360"/>
        <w:jc w:val="both"/>
      </w:pPr>
      <w:r>
        <w:rPr>
          <w:rFonts w:ascii="Calibri" w:eastAsia="Microsoft YaHei"/>
          <w:color w:val="1A1A1A"/>
          <w:sz w:val="22"/>
          <w:szCs w:val="22"/>
        </w:rPr>
        <w:t xml:space="preserve">The Examination &amp; Results module manages the creation of exams, the entry of marks by teachers, the calculation of grades and positions, and the generation of printable result cards. The module supports the typical Pakistani school exam structure — monthly tests, mid-term, and final exams — but is flexible enough to accommodate any exam naming and weighting scheme configured by the Admin.</w:t>
      </w:r>
    </w:p>
    <w:p>
      <w:pPr>
        <w:pStyle w:val="Heading2"/>
        <w:spacing w:after="120" w:before="280" w:line="312"/>
      </w:pPr>
      <w:bookmarkStart w:id="100083" w:name="_Toc100083"/>
      <w:r>
        <w:rPr>
          <w:rFonts w:ascii="Calibri" w:eastAsia="SimHei"/>
          <w:b/>
          <w:bCs/>
          <w:color w:val="15857A"/>
          <w:sz w:val="28"/>
          <w:szCs w:val="28"/>
        </w:rPr>
        <w:t xml:space="preserve">16.1 Create Exam</w:t>
      </w:r>
      <w:bookmarkEnd w:id="100083"/>
    </w:p>
    <w:p>
      <w:pPr>
        <w:spacing w:after="80" w:line="312"/>
        <w:ind w:firstLine="360"/>
        <w:jc w:val="both"/>
      </w:pPr>
      <w:r>
        <w:rPr>
          <w:rFonts w:ascii="Calibri" w:eastAsia="Microsoft YaHei"/>
          <w:color w:val="1A1A1A"/>
          <w:sz w:val="22"/>
          <w:szCs w:val="22"/>
        </w:rPr>
        <w:t xml:space="preserve">The Admin creates an exam by specifying: exam name (e.g., Mid-Term Examination 2026), exam type (Monthly / Mid-Term / Final), academic session, start and end dates, and the classes to which the exam applies. Each exam has a result publication date, before which marks are hidden from the result card view (teachers can still enter marks; they just cannot print result cards until the publication date).</w:t>
      </w:r>
    </w:p>
    <w:p>
      <w:pPr>
        <w:pStyle w:val="Heading2"/>
        <w:spacing w:after="120" w:before="280" w:line="312"/>
      </w:pPr>
      <w:bookmarkStart w:id="100084" w:name="_Toc100084"/>
      <w:r>
        <w:rPr>
          <w:rFonts w:ascii="Calibri" w:eastAsia="SimHei"/>
          <w:b/>
          <w:bCs/>
          <w:color w:val="15857A"/>
          <w:sz w:val="28"/>
          <w:szCs w:val="28"/>
        </w:rPr>
        <w:t xml:space="preserve">16.2 Marks Entry</w:t>
      </w:r>
      <w:bookmarkEnd w:id="100084"/>
    </w:p>
    <w:p>
      <w:pPr>
        <w:spacing w:after="80" w:line="312"/>
        <w:ind w:firstLine="360"/>
        <w:jc w:val="both"/>
      </w:pPr>
      <w:r>
        <w:rPr>
          <w:rFonts w:ascii="Calibri" w:eastAsia="Microsoft YaHei"/>
          <w:color w:val="1A1A1A"/>
          <w:sz w:val="22"/>
          <w:szCs w:val="22"/>
        </w:rPr>
        <w:t xml:space="preserve">Teachers enter marks through a dedicated screen that shows their assigned classes and subjects. Selecting a class-subject-exam combination opens a grid with one row per student and columns for obtained marks, total marks (pre-filled from the subject-class configuration), and remarks. The teacher enters the obtained marks for each student, with validation that the value is between zero and the total marks. The grid supports keyboard-only navigation (Enter to move to next row, Tab to move to remarks), allowing fast entry of marks for a class of forty students in under five minutes. Marks can be saved as draft and finalized later; once finalized, edits require an unlock action by the Admin.</w:t>
      </w:r>
    </w:p>
    <w:p>
      <w:pPr>
        <w:pStyle w:val="Heading2"/>
        <w:spacing w:after="120" w:before="280" w:line="312"/>
      </w:pPr>
      <w:bookmarkStart w:id="100085" w:name="_Toc100085"/>
      <w:r>
        <w:rPr>
          <w:rFonts w:ascii="Calibri" w:eastAsia="SimHei"/>
          <w:b/>
          <w:bCs/>
          <w:color w:val="15857A"/>
          <w:sz w:val="28"/>
          <w:szCs w:val="28"/>
        </w:rPr>
        <w:t xml:space="preserve">16.3 Grade &amp; Position Calculation</w:t>
      </w:r>
      <w:bookmarkEnd w:id="100085"/>
    </w:p>
    <w:p>
      <w:pPr>
        <w:spacing w:after="80" w:line="312"/>
        <w:ind w:firstLine="360"/>
        <w:jc w:val="both"/>
      </w:pPr>
      <w:r>
        <w:rPr>
          <w:rFonts w:ascii="Calibri" w:eastAsia="Microsoft YaHei"/>
          <w:color w:val="1A1A1A"/>
          <w:sz w:val="22"/>
          <w:szCs w:val="22"/>
        </w:rPr>
        <w:t xml:space="preserve">After all marks for an exam are entered, the Admin (or a designated teacher) triggers grade and position calculation. The system computes, for each student: total obtained marks, total maximum marks, percentage, grade (per the configured grade bands), subject-wise pass/fail status, and class position (rank by total, with tie-breaking by subject marks if configured). The default grade bands for the percentage system are: A+ (90% and above), A (80–89%), B (70–79%), C (60–69%), D (50–59%), E (40–49%), F (below 40%, fail). These bands are configurable in Settings.</w:t>
      </w:r>
    </w:p>
    <w:p>
      <w:pPr>
        <w:pStyle w:val="Heading2"/>
        <w:spacing w:after="120" w:before="280" w:line="312"/>
      </w:pPr>
      <w:bookmarkStart w:id="100086" w:name="_Toc100086"/>
      <w:r>
        <w:rPr>
          <w:rFonts w:ascii="Calibri" w:eastAsia="SimHei"/>
          <w:b/>
          <w:bCs/>
          <w:color w:val="15857A"/>
          <w:sz w:val="28"/>
          <w:szCs w:val="28"/>
        </w:rPr>
        <w:t xml:space="preserve">16.4 Result Card</w:t>
      </w:r>
      <w:bookmarkEnd w:id="100086"/>
    </w:p>
    <w:p>
      <w:pPr>
        <w:spacing w:after="80" w:line="312"/>
        <w:ind w:firstLine="360"/>
        <w:jc w:val="both"/>
      </w:pPr>
      <w:r>
        <w:rPr>
          <w:rFonts w:ascii="Calibri" w:eastAsia="Microsoft YaHei"/>
          <w:color w:val="1A1A1A"/>
          <w:sz w:val="22"/>
          <w:szCs w:val="22"/>
        </w:rPr>
        <w:t xml:space="preserve">The result card is printable as a PDF on A4 portrait, one card per student. The card layout includes: school name and logo, exam name and date, student name, class-section, roll number, a table of subjects with obtained marks / total marks / grade / pass-fail, total marks, percentage, overall grade, class position, attendance percentage for the term, and a remarks section. The card has signature lines for the class teacher and the principal. The result card generation for an entire class (forty students) completes in under ten seconds and produces a single PDF with one page per student.</w:t>
      </w:r>
    </w:p>
    <w:p>
      <w:pPr>
        <w:pStyle w:val="Heading1"/>
        <w:spacing w:after="160" w:before="360" w:line="312"/>
      </w:pPr>
      <w:bookmarkStart w:id="100087" w:name="_Toc100087"/>
      <w:r>
        <w:rPr>
          <w:rFonts w:ascii="Calibri" w:eastAsia="SimHei"/>
          <w:b/>
          <w:bCs/>
          <w:color w:val="15857A"/>
          <w:sz w:val="32"/>
          <w:szCs w:val="32"/>
        </w:rPr>
        <w:t xml:space="preserve">17. Module 12: Certificate Module</w:t>
      </w:r>
      <w:bookmarkEnd w:id="100087"/>
    </w:p>
    <w:p>
      <w:pPr>
        <w:spacing w:after="80" w:line="312"/>
        <w:ind w:firstLine="360"/>
        <w:jc w:val="both"/>
      </w:pPr>
      <w:r>
        <w:rPr>
          <w:rFonts w:ascii="Calibri" w:eastAsia="Microsoft YaHei"/>
          <w:color w:val="1A1A1A"/>
          <w:sz w:val="22"/>
          <w:szCs w:val="22"/>
        </w:rPr>
        <w:t xml:space="preserve">The Certificate module generates the four most commonly issued school certificates: School Leaving Certificate, Character Certificate, Bonafide Student Certificate, and Fee Paid Certificate. Each certificate is generated from a template with the school's letterhead, auto-filled with the student's data, and printable on A4. The module eliminates the manual typing of certificates — which previously took five to ten minutes each — and reduces it to under thirty seconds.</w:t>
      </w:r>
    </w:p>
    <w:p>
      <w:pPr>
        <w:pStyle w:val="Heading2"/>
        <w:spacing w:after="120" w:before="280" w:line="312"/>
      </w:pPr>
      <w:bookmarkStart w:id="100088" w:name="_Toc100088"/>
      <w:r>
        <w:rPr>
          <w:rFonts w:ascii="Calibri" w:eastAsia="SimHei"/>
          <w:b/>
          <w:bCs/>
          <w:color w:val="15857A"/>
          <w:sz w:val="28"/>
          <w:szCs w:val="28"/>
        </w:rPr>
        <w:t xml:space="preserve">17.1 Certificate Templates</w:t>
      </w:r>
      <w:bookmarkEnd w:id="100088"/>
    </w:p>
    <w:p>
      <w:pPr>
        <w:spacing w:after="80" w:line="312"/>
        <w:ind w:firstLine="360"/>
        <w:jc w:val="both"/>
      </w:pPr>
      <w:r>
        <w:rPr>
          <w:rFonts w:ascii="Calibri" w:eastAsia="Microsoft YaHei"/>
          <w:color w:val="1A1A1A"/>
          <w:sz w:val="22"/>
          <w:szCs w:val="22"/>
        </w:rPr>
        <w:t xml:space="preserve">Each certificate type has a built-in template that includes the school letterhead (logo, name, address, phone), a title (e.g., "School Leaving Certificate"), a body paragraph with placeholders for student name, father's name, class, roll number, dates, and a signature block with the principal's name and a signature line. The templates use formal, standard wording appropriate to each certificate type. A future v2.0 enhancement will add a template editor allowing the school to customize the wording.</w:t>
      </w:r>
    </w:p>
    <w:p>
      <w:pPr>
        <w:pStyle w:val="Heading2"/>
        <w:spacing w:after="120" w:before="280" w:line="312"/>
      </w:pPr>
      <w:bookmarkStart w:id="100089" w:name="_Toc100089"/>
      <w:r>
        <w:rPr>
          <w:rFonts w:ascii="Calibri" w:eastAsia="SimHei"/>
          <w:b/>
          <w:bCs/>
          <w:color w:val="15857A"/>
          <w:sz w:val="28"/>
          <w:szCs w:val="28"/>
        </w:rPr>
        <w:t xml:space="preserve">17.2 School Leaving Certificate</w:t>
      </w:r>
      <w:bookmarkEnd w:id="100089"/>
    </w:p>
    <w:p>
      <w:pPr>
        <w:spacing w:after="80" w:line="312"/>
        <w:ind w:firstLine="360"/>
        <w:jc w:val="both"/>
      </w:pPr>
      <w:r>
        <w:rPr>
          <w:rFonts w:ascii="Calibri" w:eastAsia="Microsoft YaHei"/>
          <w:color w:val="1A1A1A"/>
          <w:sz w:val="22"/>
          <w:szCs w:val="22"/>
        </w:rPr>
        <w:t xml:space="preserve">The School Leaving Certificate (also called Transfer Certificate) is issued when a student leaves the school. It certifies the student's name, father's name, date of birth, class last studied, academic session, date of leaving, character during the stay, and any fees due. The certificate can only be generated for students who have been marked as Left in the Student Management module; this prevents issuing a leaving certificate to a current student.</w:t>
      </w:r>
    </w:p>
    <w:p>
      <w:pPr>
        <w:pStyle w:val="Heading2"/>
        <w:spacing w:after="120" w:before="280" w:line="312"/>
      </w:pPr>
      <w:bookmarkStart w:id="100090" w:name="_Toc100090"/>
      <w:r>
        <w:rPr>
          <w:rFonts w:ascii="Calibri" w:eastAsia="SimHei"/>
          <w:b/>
          <w:bCs/>
          <w:color w:val="15857A"/>
          <w:sz w:val="28"/>
          <w:szCs w:val="28"/>
        </w:rPr>
        <w:t xml:space="preserve">17.3 Character Certificate</w:t>
      </w:r>
      <w:bookmarkEnd w:id="100090"/>
    </w:p>
    <w:p>
      <w:pPr>
        <w:spacing w:after="80" w:line="312"/>
        <w:ind w:firstLine="360"/>
        <w:jc w:val="both"/>
      </w:pPr>
      <w:r>
        <w:rPr>
          <w:rFonts w:ascii="Calibri" w:eastAsia="Microsoft YaHei"/>
          <w:color w:val="1A1A1A"/>
          <w:sz w:val="22"/>
          <w:szCs w:val="22"/>
        </w:rPr>
        <w:t xml:space="preserve">The Character Certificate certifies that the named student is of good moral character, to the best of the school's knowledge, during their period of study. It is typically issued to students applying for higher education or jobs. The certificate includes the student's name, father's name, class, academic session, and date of issue.</w:t>
      </w:r>
    </w:p>
    <w:p>
      <w:pPr>
        <w:pStyle w:val="Heading2"/>
        <w:spacing w:after="120" w:before="280" w:line="312"/>
      </w:pPr>
      <w:bookmarkStart w:id="100091" w:name="_Toc100091"/>
      <w:r>
        <w:rPr>
          <w:rFonts w:ascii="Calibri" w:eastAsia="SimHei"/>
          <w:b/>
          <w:bCs/>
          <w:color w:val="15857A"/>
          <w:sz w:val="28"/>
          <w:szCs w:val="28"/>
        </w:rPr>
        <w:t xml:space="preserve">17.4 Bonafide Certificate</w:t>
      </w:r>
      <w:bookmarkEnd w:id="100091"/>
    </w:p>
    <w:p>
      <w:pPr>
        <w:spacing w:after="80" w:line="312"/>
        <w:ind w:firstLine="360"/>
        <w:jc w:val="both"/>
      </w:pPr>
      <w:r>
        <w:rPr>
          <w:rFonts w:ascii="Calibri" w:eastAsia="Microsoft YaHei"/>
          <w:color w:val="1A1A1A"/>
          <w:sz w:val="22"/>
          <w:szCs w:val="22"/>
        </w:rPr>
        <w:t xml:space="preserve">The Bonafide Certificate certifies that the named student is a bona fide (genuine) student of the school, currently enrolled in a specified class. It is typically issued for opening a bank account, applying for a passport, or participating in external competitions. The certificate includes the student's name, father's name, class-section, roll number, academic session, and date of issue.</w:t>
      </w:r>
    </w:p>
    <w:p>
      <w:pPr>
        <w:pStyle w:val="Heading2"/>
        <w:spacing w:after="120" w:before="280" w:line="312"/>
      </w:pPr>
      <w:bookmarkStart w:id="100092" w:name="_Toc100092"/>
      <w:r>
        <w:rPr>
          <w:rFonts w:ascii="Calibri" w:eastAsia="SimHei"/>
          <w:b/>
          <w:bCs/>
          <w:color w:val="15857A"/>
          <w:sz w:val="28"/>
          <w:szCs w:val="28"/>
        </w:rPr>
        <w:t xml:space="preserve">17.5 Fee Paid Certificate</w:t>
      </w:r>
      <w:bookmarkEnd w:id="100092"/>
    </w:p>
    <w:p>
      <w:pPr>
        <w:spacing w:after="80" w:line="312"/>
        <w:ind w:firstLine="360"/>
        <w:jc w:val="both"/>
      </w:pPr>
      <w:r>
        <w:rPr>
          <w:rFonts w:ascii="Calibri" w:eastAsia="Microsoft YaHei"/>
          <w:color w:val="1A1A1A"/>
          <w:sz w:val="22"/>
          <w:szCs w:val="22"/>
        </w:rPr>
        <w:t xml:space="preserve">The Fee Paid Certificate certifies that the named student has paid all fees up to a specified month. It is typically required for visa applications or for transferring to another school. The certificate pulls the student's payment history from the Fee Management module and verifies that all dues are cleared before allowing generation. If any dues are outstanding, the system blocks generation with a clear message indicating the outstanding amount.</w:t>
      </w:r>
    </w:p>
    <w:p>
      <w:pPr>
        <w:pStyle w:val="Heading2"/>
        <w:spacing w:after="120" w:before="280" w:line="312"/>
      </w:pPr>
      <w:bookmarkStart w:id="100093" w:name="_Toc100093"/>
      <w:r>
        <w:rPr>
          <w:rFonts w:ascii="Calibri" w:eastAsia="SimHei"/>
          <w:b/>
          <w:bCs/>
          <w:color w:val="15857A"/>
          <w:sz w:val="28"/>
          <w:szCs w:val="28"/>
        </w:rPr>
        <w:t xml:space="preserve">17.6 Certificate Numbering</w:t>
      </w:r>
      <w:bookmarkEnd w:id="100093"/>
    </w:p>
    <w:p>
      <w:pPr>
        <w:spacing w:after="80" w:line="312"/>
        <w:ind w:firstLine="360"/>
        <w:jc w:val="both"/>
      </w:pPr>
      <w:r>
        <w:rPr>
          <w:rFonts w:ascii="Calibri" w:eastAsia="Microsoft YaHei"/>
          <w:color w:val="1A1A1A"/>
          <w:sz w:val="22"/>
          <w:szCs w:val="22"/>
        </w:rPr>
        <w:t xml:space="preserve">Each issued certificate is assigned a sequential certificate number with a configurable prefix (e.g., CERT-2026-001). The number is stored in the certificates table along with the certificate type, student ID, issue date, and issuing user. This provides a complete audit trail of every certificate ever issued, searchable in the Reports module.</w:t>
      </w:r>
    </w:p>
    <w:p>
      <w:pPr>
        <w:pStyle w:val="Heading1"/>
        <w:spacing w:after="160" w:before="360" w:line="312"/>
      </w:pPr>
      <w:bookmarkStart w:id="100094" w:name="_Toc100094"/>
      <w:r>
        <w:rPr>
          <w:rFonts w:ascii="Calibri" w:eastAsia="SimHei"/>
          <w:b/>
          <w:bCs/>
          <w:color w:val="15857A"/>
          <w:sz w:val="32"/>
          <w:szCs w:val="32"/>
        </w:rPr>
        <w:t xml:space="preserve">18. Module 13: Reports</w:t>
      </w:r>
      <w:bookmarkEnd w:id="100094"/>
    </w:p>
    <w:p>
      <w:pPr>
        <w:spacing w:after="80" w:line="312"/>
        <w:ind w:firstLine="360"/>
        <w:jc w:val="both"/>
      </w:pPr>
      <w:r>
        <w:rPr>
          <w:rFonts w:ascii="Calibri" w:eastAsia="Microsoft YaHei"/>
          <w:color w:val="1A1A1A"/>
          <w:sz w:val="22"/>
          <w:szCs w:val="22"/>
        </w:rPr>
        <w:t xml:space="preserve">The Reports module consolidates ten printable report types covering every operational area of the school. Each report has a filter screen (date range, class, status, etc.), a preview pane, and three output options: print directly, export to PDF, or export to Excel. All reports use the school's letterhead and accent color for consistency. The reports are designed to be self-explanatory — a person reading the report without prior context should understand what it shows and what action it implies.</w:t>
      </w:r>
    </w:p>
    <w:p>
      <w:pPr>
        <w:keepNext/>
        <w:spacing w:after="80" w:before="160"/>
      </w:pPr>
      <w:r>
        <w:rPr>
          <w:rFonts w:ascii="Calibri" w:eastAsia="SimHei"/>
          <w:b/>
          <w:bCs/>
          <w:color w:val="15857A"/>
          <w:sz w:val="21"/>
          <w:szCs w:val="21"/>
        </w:rPr>
        <w:t xml:space="preserve">Table 8: Report Catalog</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gridCol w:w="100"/>
      </w:tblGrid>
      <w:tr>
        <w:trPr>
          <w:cantSplit/>
          <w:tblHeader/>
        </w:trPr>
        <w:tc>
          <w:tcPr>
            <w:tcW w:type="pct" w:w="6%"/>
            <w:shd w:fill="15857A" w:val="clear"/>
            <w:tcMar>
              <w:top w:type="dxa" w:w="80"/>
              <w:left w:type="dxa" w:w="120"/>
              <w:bottom w:type="dxa" w:w="80"/>
              <w:right w:type="dxa" w:w="120"/>
            </w:tcMar>
          </w:tcPr>
          <w:p>
            <w:pPr>
              <w:jc w:val="left"/>
            </w:pPr>
            <w:r>
              <w:rPr>
                <w:rFonts w:ascii="Calibri" w:eastAsia="SimHei"/>
                <w:b/>
                <w:bCs/>
                <w:color w:val="FFFFFF"/>
                <w:sz w:val="21"/>
                <w:szCs w:val="21"/>
              </w:rPr>
              <w:t xml:space="preserve">#</w:t>
            </w:r>
          </w:p>
        </w:tc>
        <w:tc>
          <w:tcPr>
            <w:tcW w:type="pct" w:w="32%"/>
            <w:shd w:fill="15857A" w:val="clear"/>
            <w:tcMar>
              <w:top w:type="dxa" w:w="80"/>
              <w:left w:type="dxa" w:w="120"/>
              <w:bottom w:type="dxa" w:w="80"/>
              <w:right w:type="dxa" w:w="120"/>
            </w:tcMar>
          </w:tcPr>
          <w:p>
            <w:pPr>
              <w:jc w:val="left"/>
            </w:pPr>
            <w:r>
              <w:rPr>
                <w:rFonts w:ascii="Calibri" w:eastAsia="SimHei"/>
                <w:b/>
                <w:bCs/>
                <w:color w:val="FFFFFF"/>
                <w:sz w:val="21"/>
                <w:szCs w:val="21"/>
              </w:rPr>
              <w:t xml:space="preserve">Report Name</w:t>
            </w:r>
          </w:p>
        </w:tc>
        <w:tc>
          <w:tcPr>
            <w:tcW w:type="pct" w:w="38%"/>
            <w:shd w:fill="15857A" w:val="clear"/>
            <w:tcMar>
              <w:top w:type="dxa" w:w="80"/>
              <w:left w:type="dxa" w:w="120"/>
              <w:bottom w:type="dxa" w:w="80"/>
              <w:right w:type="dxa" w:w="120"/>
            </w:tcMar>
          </w:tcPr>
          <w:p>
            <w:pPr>
              <w:jc w:val="left"/>
            </w:pPr>
            <w:r>
              <w:rPr>
                <w:rFonts w:ascii="Calibri" w:eastAsia="SimHei"/>
                <w:b/>
                <w:bCs/>
                <w:color w:val="FFFFFF"/>
                <w:sz w:val="21"/>
                <w:szCs w:val="21"/>
              </w:rPr>
              <w:t xml:space="preserve">Filters</w:t>
            </w:r>
          </w:p>
        </w:tc>
        <w:tc>
          <w:tcPr>
            <w:tcW w:type="pct" w:w="24%"/>
            <w:shd w:fill="15857A" w:val="clear"/>
            <w:tcMar>
              <w:top w:type="dxa" w:w="80"/>
              <w:left w:type="dxa" w:w="120"/>
              <w:bottom w:type="dxa" w:w="80"/>
              <w:right w:type="dxa" w:w="120"/>
            </w:tcMar>
          </w:tcPr>
          <w:p>
            <w:pPr>
              <w:jc w:val="left"/>
            </w:pPr>
            <w:r>
              <w:rPr>
                <w:rFonts w:ascii="Calibri" w:eastAsia="SimHei"/>
                <w:b/>
                <w:bCs/>
                <w:color w:val="FFFFFF"/>
                <w:sz w:val="21"/>
                <w:szCs w:val="21"/>
              </w:rPr>
              <w:t xml:space="preserve">Output</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1</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Student Report</w:t>
            </w:r>
          </w:p>
        </w:tc>
        <w:tc>
          <w:tcPr>
            <w:tcW w:type="pct" w:w="38%"/>
            <w:tcMar>
              <w:top w:type="dxa" w:w="60"/>
              <w:left w:type="dxa" w:w="120"/>
              <w:bottom w:type="dxa" w:w="60"/>
              <w:right w:type="dxa" w:w="120"/>
            </w:tcMar>
          </w:tcPr>
          <w:p>
            <w:pPr>
              <w:jc w:val="left"/>
            </w:pPr>
            <w:r>
              <w:rPr>
                <w:rFonts w:ascii="Calibri" w:eastAsia="Microsoft YaHei"/>
                <w:color w:val="1A1A1A"/>
                <w:sz w:val="20"/>
                <w:szCs w:val="20"/>
              </w:rPr>
              <w:t xml:space="preserve">Class, section, status, date range</w:t>
            </w:r>
          </w:p>
        </w:tc>
        <w:tc>
          <w:tcPr>
            <w:tcW w:type="pct" w:w="24%"/>
            <w:tcMar>
              <w:top w:type="dxa" w:w="60"/>
              <w:left w:type="dxa" w:w="120"/>
              <w:bottom w:type="dxa" w:w="60"/>
              <w:right w:type="dxa" w:w="120"/>
            </w:tcMar>
          </w:tcPr>
          <w:p>
            <w:pPr>
              <w:jc w:val="left"/>
            </w:pPr>
            <w:r>
              <w:rPr>
                <w:rFonts w:ascii="Calibri" w:eastAsia="Microsoft YaHei"/>
                <w:color w:val="1A1A1A"/>
                <w:sz w:val="20"/>
                <w:szCs w:val="20"/>
              </w:rPr>
              <w:t xml:space="preserve">PDF, Excel</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2</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Teacher Report</w:t>
            </w:r>
          </w:p>
        </w:tc>
        <w:tc>
          <w:tcPr>
            <w:tcW w:type="pct" w:w="3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Status, joining date range</w:t>
            </w:r>
          </w:p>
        </w:tc>
        <w:tc>
          <w:tcPr>
            <w:tcW w:type="pct" w:w="2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PDF, Excel</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3</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Staff Report</w:t>
            </w:r>
          </w:p>
        </w:tc>
        <w:tc>
          <w:tcPr>
            <w:tcW w:type="pct" w:w="38%"/>
            <w:tcMar>
              <w:top w:type="dxa" w:w="60"/>
              <w:left w:type="dxa" w:w="120"/>
              <w:bottom w:type="dxa" w:w="60"/>
              <w:right w:type="dxa" w:w="120"/>
            </w:tcMar>
          </w:tcPr>
          <w:p>
            <w:pPr>
              <w:jc w:val="left"/>
            </w:pPr>
            <w:r>
              <w:rPr>
                <w:rFonts w:ascii="Calibri" w:eastAsia="Microsoft YaHei"/>
                <w:color w:val="1A1A1A"/>
                <w:sz w:val="20"/>
                <w:szCs w:val="20"/>
              </w:rPr>
              <w:t xml:space="preserve">Department, status</w:t>
            </w:r>
          </w:p>
        </w:tc>
        <w:tc>
          <w:tcPr>
            <w:tcW w:type="pct" w:w="24%"/>
            <w:tcMar>
              <w:top w:type="dxa" w:w="60"/>
              <w:left w:type="dxa" w:w="120"/>
              <w:bottom w:type="dxa" w:w="60"/>
              <w:right w:type="dxa" w:w="120"/>
            </w:tcMar>
          </w:tcPr>
          <w:p>
            <w:pPr>
              <w:jc w:val="left"/>
            </w:pPr>
            <w:r>
              <w:rPr>
                <w:rFonts w:ascii="Calibri" w:eastAsia="Microsoft YaHei"/>
                <w:color w:val="1A1A1A"/>
                <w:sz w:val="20"/>
                <w:szCs w:val="20"/>
              </w:rPr>
              <w:t xml:space="preserve">PDF, Excel</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4</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Attendance Report</w:t>
            </w:r>
          </w:p>
        </w:tc>
        <w:tc>
          <w:tcPr>
            <w:tcW w:type="pct" w:w="3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Group (student/teacher/staff), class, month</w:t>
            </w:r>
          </w:p>
        </w:tc>
        <w:tc>
          <w:tcPr>
            <w:tcW w:type="pct" w:w="2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PDF, Excel</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5</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Fee Collection Report</w:t>
            </w:r>
          </w:p>
        </w:tc>
        <w:tc>
          <w:tcPr>
            <w:tcW w:type="pct" w:w="38%"/>
            <w:tcMar>
              <w:top w:type="dxa" w:w="60"/>
              <w:left w:type="dxa" w:w="120"/>
              <w:bottom w:type="dxa" w:w="60"/>
              <w:right w:type="dxa" w:w="120"/>
            </w:tcMar>
          </w:tcPr>
          <w:p>
            <w:pPr>
              <w:jc w:val="left"/>
            </w:pPr>
            <w:r>
              <w:rPr>
                <w:rFonts w:ascii="Calibri" w:eastAsia="Microsoft YaHei"/>
                <w:color w:val="1A1A1A"/>
                <w:sz w:val="20"/>
                <w:szCs w:val="20"/>
              </w:rPr>
              <w:t xml:space="preserve">Date range, class, payment mode</w:t>
            </w:r>
          </w:p>
        </w:tc>
        <w:tc>
          <w:tcPr>
            <w:tcW w:type="pct" w:w="24%"/>
            <w:tcMar>
              <w:top w:type="dxa" w:w="60"/>
              <w:left w:type="dxa" w:w="120"/>
              <w:bottom w:type="dxa" w:w="60"/>
              <w:right w:type="dxa" w:w="120"/>
            </w:tcMar>
          </w:tcPr>
          <w:p>
            <w:pPr>
              <w:jc w:val="left"/>
            </w:pPr>
            <w:r>
              <w:rPr>
                <w:rFonts w:ascii="Calibri" w:eastAsia="Microsoft YaHei"/>
                <w:color w:val="1A1A1A"/>
                <w:sz w:val="20"/>
                <w:szCs w:val="20"/>
              </w:rPr>
              <w:t xml:space="preserve">PDF, Excel</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6</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Fee Defaulter Report</w:t>
            </w:r>
          </w:p>
        </w:tc>
        <w:tc>
          <w:tcPr>
            <w:tcW w:type="pct" w:w="3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Month, class, min outstanding</w:t>
            </w:r>
          </w:p>
        </w:tc>
        <w:tc>
          <w:tcPr>
            <w:tcW w:type="pct" w:w="2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PDF, Excel</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7</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Salary Report</w:t>
            </w:r>
          </w:p>
        </w:tc>
        <w:tc>
          <w:tcPr>
            <w:tcW w:type="pct" w:w="38%"/>
            <w:tcMar>
              <w:top w:type="dxa" w:w="60"/>
              <w:left w:type="dxa" w:w="120"/>
              <w:bottom w:type="dxa" w:w="60"/>
              <w:right w:type="dxa" w:w="120"/>
            </w:tcMar>
          </w:tcPr>
          <w:p>
            <w:pPr>
              <w:jc w:val="left"/>
            </w:pPr>
            <w:r>
              <w:rPr>
                <w:rFonts w:ascii="Calibri" w:eastAsia="Microsoft YaHei"/>
                <w:color w:val="1A1A1A"/>
                <w:sz w:val="20"/>
                <w:szCs w:val="20"/>
              </w:rPr>
              <w:t xml:space="preserve">Month, employee, department</w:t>
            </w:r>
          </w:p>
        </w:tc>
        <w:tc>
          <w:tcPr>
            <w:tcW w:type="pct" w:w="24%"/>
            <w:tcMar>
              <w:top w:type="dxa" w:w="60"/>
              <w:left w:type="dxa" w:w="120"/>
              <w:bottom w:type="dxa" w:w="60"/>
              <w:right w:type="dxa" w:w="120"/>
            </w:tcMar>
          </w:tcPr>
          <w:p>
            <w:pPr>
              <w:jc w:val="left"/>
            </w:pPr>
            <w:r>
              <w:rPr>
                <w:rFonts w:ascii="Calibri" w:eastAsia="Microsoft YaHei"/>
                <w:color w:val="1A1A1A"/>
                <w:sz w:val="20"/>
                <w:szCs w:val="20"/>
              </w:rPr>
              <w:t xml:space="preserve">PDF, Excel</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8</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Fine / Deduction Report</w:t>
            </w:r>
          </w:p>
        </w:tc>
        <w:tc>
          <w:tcPr>
            <w:tcW w:type="pct" w:w="3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Month, deduction type, employee</w:t>
            </w:r>
          </w:p>
        </w:tc>
        <w:tc>
          <w:tcPr>
            <w:tcW w:type="pct" w:w="2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PDF, Excel</w:t>
            </w:r>
          </w:p>
        </w:tc>
      </w:tr>
      <w:tr>
        <w:trPr>
          <w:cantSplit/>
        </w:trPr>
        <w:tc>
          <w:tcPr>
            <w:tcW w:type="pct" w:w="6%"/>
            <w:tcMar>
              <w:top w:type="dxa" w:w="60"/>
              <w:left w:type="dxa" w:w="120"/>
              <w:bottom w:type="dxa" w:w="60"/>
              <w:right w:type="dxa" w:w="120"/>
            </w:tcMar>
          </w:tcPr>
          <w:p>
            <w:pPr>
              <w:jc w:val="left"/>
            </w:pPr>
            <w:r>
              <w:rPr>
                <w:rFonts w:ascii="Calibri" w:eastAsia="Microsoft YaHei"/>
                <w:color w:val="1A1A1A"/>
                <w:sz w:val="20"/>
                <w:szCs w:val="20"/>
              </w:rPr>
              <w:t xml:space="preserve">9</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Result Report</w:t>
            </w:r>
          </w:p>
        </w:tc>
        <w:tc>
          <w:tcPr>
            <w:tcW w:type="pct" w:w="38%"/>
            <w:tcMar>
              <w:top w:type="dxa" w:w="60"/>
              <w:left w:type="dxa" w:w="120"/>
              <w:bottom w:type="dxa" w:w="60"/>
              <w:right w:type="dxa" w:w="120"/>
            </w:tcMar>
          </w:tcPr>
          <w:p>
            <w:pPr>
              <w:jc w:val="left"/>
            </w:pPr>
            <w:r>
              <w:rPr>
                <w:rFonts w:ascii="Calibri" w:eastAsia="Microsoft YaHei"/>
                <w:color w:val="1A1A1A"/>
                <w:sz w:val="20"/>
                <w:szCs w:val="20"/>
              </w:rPr>
              <w:t xml:space="preserve">Exam, class, pass/fail filter</w:t>
            </w:r>
          </w:p>
        </w:tc>
        <w:tc>
          <w:tcPr>
            <w:tcW w:type="pct" w:w="24%"/>
            <w:tcMar>
              <w:top w:type="dxa" w:w="60"/>
              <w:left w:type="dxa" w:w="120"/>
              <w:bottom w:type="dxa" w:w="60"/>
              <w:right w:type="dxa" w:w="120"/>
            </w:tcMar>
          </w:tcPr>
          <w:p>
            <w:pPr>
              <w:jc w:val="left"/>
            </w:pPr>
            <w:r>
              <w:rPr>
                <w:rFonts w:ascii="Calibri" w:eastAsia="Microsoft YaHei"/>
                <w:color w:val="1A1A1A"/>
                <w:sz w:val="20"/>
                <w:szCs w:val="20"/>
              </w:rPr>
              <w:t xml:space="preserve">PDF, Excel</w:t>
            </w:r>
          </w:p>
        </w:tc>
      </w:tr>
      <w:tr>
        <w:trPr>
          <w:cantSplit/>
        </w:trPr>
        <w:tc>
          <w:tcPr>
            <w:tcW w:type="pct" w:w="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10</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Monthly Summary Report</w:t>
            </w:r>
          </w:p>
        </w:tc>
        <w:tc>
          <w:tcPr>
            <w:tcW w:type="pct" w:w="3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Month (one-page KPI snapshot)</w:t>
            </w:r>
          </w:p>
        </w:tc>
        <w:tc>
          <w:tcPr>
            <w:tcW w:type="pct" w:w="2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PDF</w:t>
            </w:r>
          </w:p>
        </w:tc>
      </w:tr>
    </w:tbl>
    <w:p>
      <w:pPr>
        <w:pStyle w:val="Heading2"/>
        <w:spacing w:after="120" w:before="280" w:line="312"/>
      </w:pPr>
      <w:bookmarkStart w:id="100095" w:name="_Toc100095"/>
      <w:r>
        <w:rPr>
          <w:rFonts w:ascii="Calibri" w:eastAsia="SimHei"/>
          <w:b/>
          <w:bCs/>
          <w:color w:val="15857A"/>
          <w:sz w:val="28"/>
          <w:szCs w:val="28"/>
        </w:rPr>
        <w:t xml:space="preserve">18.1 Report Generation Architecture</w:t>
      </w:r>
      <w:bookmarkEnd w:id="100095"/>
    </w:p>
    <w:p>
      <w:pPr>
        <w:spacing w:after="80" w:line="312"/>
        <w:ind w:firstLine="360"/>
        <w:jc w:val="both"/>
      </w:pPr>
      <w:r>
        <w:rPr>
          <w:rFonts w:ascii="Calibri" w:eastAsia="Microsoft YaHei"/>
          <w:color w:val="1A1A1A"/>
          <w:sz w:val="22"/>
          <w:szCs w:val="22"/>
        </w:rPr>
        <w:t xml:space="preserve">All reports are generated client-side in the React frontend using jsPDF for PDF output and ExcelJS for Excel output. The data is fetched from the backend via a single Tauri command per report that returns a typed array of rows. This approach keeps the backend simple (no PDF rendering on the Rust side) and allows the frontend to apply user-specific formatting (currency symbol, date format) without backend changes. PDF generation for a report with one thousand rows completes in under three seconds.</w:t>
      </w:r>
    </w:p>
    <w:p>
      <w:pPr>
        <w:pStyle w:val="Heading2"/>
        <w:spacing w:after="120" w:before="280" w:line="312"/>
      </w:pPr>
      <w:bookmarkStart w:id="100096" w:name="_Toc100096"/>
      <w:r>
        <w:rPr>
          <w:rFonts w:ascii="Calibri" w:eastAsia="SimHei"/>
          <w:b/>
          <w:bCs/>
          <w:color w:val="15857A"/>
          <w:sz w:val="28"/>
          <w:szCs w:val="28"/>
        </w:rPr>
        <w:t xml:space="preserve">18.2 Monthly Summary Report</w:t>
      </w:r>
      <w:bookmarkEnd w:id="100096"/>
    </w:p>
    <w:p>
      <w:pPr>
        <w:spacing w:after="80" w:line="312"/>
        <w:ind w:firstLine="360"/>
        <w:jc w:val="both"/>
      </w:pPr>
      <w:r>
        <w:rPr>
          <w:rFonts w:ascii="Calibri" w:eastAsia="Microsoft YaHei"/>
          <w:color w:val="1A1A1A"/>
          <w:sz w:val="22"/>
          <w:szCs w:val="22"/>
        </w:rPr>
        <w:t xml:space="preserve">The Monthly Summary Report deserves special mention — it is a one-page snapshot of the school's operational and financial health for a given month, designed to be printed and reviewed by the principal at month-end. It includes: total students at month start and end, admissions and leaves during the month, fee collected vs. fee pending, salary paid with total deductions, attendance percentages for students and staff, and a small chart showing fee collection trend for the last six months. This single-page report is the most-printed report in the system and is often the principal's primary monthly review document.</w:t>
      </w:r>
    </w:p>
    <w:p>
      <w:pPr>
        <w:pStyle w:val="Heading1"/>
        <w:spacing w:after="160" w:before="360" w:line="312"/>
      </w:pPr>
      <w:bookmarkStart w:id="100097" w:name="_Toc100097"/>
      <w:r>
        <w:rPr>
          <w:rFonts w:ascii="Calibri" w:eastAsia="SimHei"/>
          <w:b/>
          <w:bCs/>
          <w:color w:val="15857A"/>
          <w:sz w:val="32"/>
          <w:szCs w:val="32"/>
        </w:rPr>
        <w:t xml:space="preserve">19. Module 14: Analytics</w:t>
      </w:r>
      <w:bookmarkEnd w:id="100097"/>
    </w:p>
    <w:p>
      <w:pPr>
        <w:spacing w:after="80" w:line="312"/>
        <w:ind w:firstLine="360"/>
        <w:jc w:val="both"/>
      </w:pPr>
      <w:r>
        <w:rPr>
          <w:rFonts w:ascii="Calibri" w:eastAsia="Microsoft YaHei"/>
          <w:color w:val="1A1A1A"/>
          <w:sz w:val="22"/>
          <w:szCs w:val="22"/>
        </w:rPr>
        <w:t xml:space="preserve">The Analytics module provides seven visual charts that surface trends and patterns not visible in the day-to-day operational screens. The charts use Recharts and are interactive — hovering over a data point shows a tooltip with the exact value, and most charts support clicking a bar or segment to drill down into the underlying records. The analytics are read-only and refresh automatically when the underlying data changes (no manual refresh needed).</w:t>
      </w:r>
    </w:p>
    <w:p>
      <w:pPr>
        <w:pStyle w:val="Heading2"/>
        <w:spacing w:after="120" w:before="280" w:line="312"/>
      </w:pPr>
      <w:bookmarkStart w:id="100098" w:name="_Toc100098"/>
      <w:r>
        <w:rPr>
          <w:rFonts w:ascii="Calibri" w:eastAsia="SimHei"/>
          <w:b/>
          <w:bCs/>
          <w:color w:val="15857A"/>
          <w:sz w:val="28"/>
          <w:szCs w:val="28"/>
        </w:rPr>
        <w:t xml:space="preserve">19.1 Student Growth Trend</w:t>
      </w:r>
      <w:bookmarkEnd w:id="100098"/>
    </w:p>
    <w:p>
      <w:pPr>
        <w:spacing w:after="80" w:line="312"/>
        <w:ind w:firstLine="360"/>
        <w:jc w:val="both"/>
      </w:pPr>
      <w:r>
        <w:rPr>
          <w:rFonts w:ascii="Calibri" w:eastAsia="Microsoft YaHei"/>
          <w:color w:val="1A1A1A"/>
          <w:sz w:val="22"/>
          <w:szCs w:val="22"/>
        </w:rPr>
        <w:t xml:space="preserve">A line chart showing the total active student count at the end of each month for the last twenty-four months. The chart helps the principal see whether the school is growing, stable, or declining — and whether growth is accelerating or decelerating. A second line on the same chart shows the cumulative admissions for the year, providing a leading indicator for next year's enrollment.</w:t>
      </w:r>
    </w:p>
    <w:p>
      <w:pPr>
        <w:pStyle w:val="Heading2"/>
        <w:spacing w:after="120" w:before="280" w:line="312"/>
      </w:pPr>
      <w:bookmarkStart w:id="100099" w:name="_Toc100099"/>
      <w:r>
        <w:rPr>
          <w:rFonts w:ascii="Calibri" w:eastAsia="SimHei"/>
          <w:b/>
          <w:bCs/>
          <w:color w:val="15857A"/>
          <w:sz w:val="28"/>
          <w:szCs w:val="28"/>
        </w:rPr>
        <w:t xml:space="preserve">19.2 Fee Collection Trend</w:t>
      </w:r>
      <w:bookmarkEnd w:id="100099"/>
    </w:p>
    <w:p>
      <w:pPr>
        <w:spacing w:after="80" w:line="312"/>
        <w:ind w:firstLine="360"/>
        <w:jc w:val="both"/>
      </w:pPr>
      <w:r>
        <w:rPr>
          <w:rFonts w:ascii="Calibri" w:eastAsia="Microsoft YaHei"/>
          <w:color w:val="1A1A1A"/>
          <w:sz w:val="22"/>
          <w:szCs w:val="22"/>
        </w:rPr>
        <w:t xml:space="preserve">A combined bar-and-line chart showing, for each of the last twelve months, the total fee collected (bar) and the fee pending at month-end (line). This chart reveals seasonal patterns (e.g., a dip in collection during summer vacation) and highlights months where defaulter follow-up is needed. Clicking a bar opens the Fee Collection Report for that month.</w:t>
      </w:r>
    </w:p>
    <w:p>
      <w:pPr>
        <w:pStyle w:val="Heading2"/>
        <w:spacing w:after="120" w:before="280" w:line="312"/>
      </w:pPr>
      <w:bookmarkStart w:id="100100" w:name="_Toc100100"/>
      <w:r>
        <w:rPr>
          <w:rFonts w:ascii="Calibri" w:eastAsia="SimHei"/>
          <w:b/>
          <w:bCs/>
          <w:color w:val="15857A"/>
          <w:sz w:val="28"/>
          <w:szCs w:val="28"/>
        </w:rPr>
        <w:t xml:space="preserve">19.3 Monthly Income</w:t>
      </w:r>
      <w:bookmarkEnd w:id="100100"/>
    </w:p>
    <w:p>
      <w:pPr>
        <w:spacing w:after="80" w:line="312"/>
        <w:ind w:firstLine="360"/>
        <w:jc w:val="both"/>
      </w:pPr>
      <w:r>
        <w:rPr>
          <w:rFonts w:ascii="Calibri" w:eastAsia="Microsoft YaHei"/>
          <w:color w:val="1A1A1A"/>
          <w:sz w:val="22"/>
          <w:szCs w:val="22"/>
        </w:rPr>
        <w:t xml:space="preserve">A bar chart showing total monthly income (all fee types plus any other income recorded) for the last twelve months, with a horizontal line showing the twelve-month average. This is the simplest financial trend chart and is often the first chart the principal checks each morning.</w:t>
      </w:r>
    </w:p>
    <w:p>
      <w:pPr>
        <w:pStyle w:val="Heading2"/>
        <w:spacing w:after="120" w:before="280" w:line="312"/>
      </w:pPr>
      <w:bookmarkStart w:id="100101" w:name="_Toc100101"/>
      <w:r>
        <w:rPr>
          <w:rFonts w:ascii="Calibri" w:eastAsia="SimHei"/>
          <w:b/>
          <w:bCs/>
          <w:color w:val="15857A"/>
          <w:sz w:val="28"/>
          <w:szCs w:val="28"/>
        </w:rPr>
        <w:t xml:space="preserve">19.4 Teacher Attendance Statistics</w:t>
      </w:r>
      <w:bookmarkEnd w:id="100101"/>
    </w:p>
    <w:p>
      <w:pPr>
        <w:spacing w:after="80" w:line="312"/>
        <w:ind w:firstLine="360"/>
        <w:jc w:val="both"/>
      </w:pPr>
      <w:r>
        <w:rPr>
          <w:rFonts w:ascii="Calibri" w:eastAsia="Microsoft YaHei"/>
          <w:color w:val="1A1A1A"/>
          <w:sz w:val="22"/>
          <w:szCs w:val="22"/>
        </w:rPr>
        <w:t xml:space="preserve">A stacked bar chart showing, for each of the last six months, the count of Present, Late, Half-Day, Leave, and Absent days across all teachers. The chart identifies patterns of absenteeism — for example, a teacher who is consistently late on Mondays — and supports decisions on attendance policy enforcement.</w:t>
      </w:r>
    </w:p>
    <w:p>
      <w:pPr>
        <w:pStyle w:val="Heading2"/>
        <w:spacing w:after="120" w:before="280" w:line="312"/>
      </w:pPr>
      <w:bookmarkStart w:id="100102" w:name="_Toc100102"/>
      <w:r>
        <w:rPr>
          <w:rFonts w:ascii="Calibri" w:eastAsia="SimHei"/>
          <w:b/>
          <w:bCs/>
          <w:color w:val="15857A"/>
          <w:sz w:val="28"/>
          <w:szCs w:val="28"/>
        </w:rPr>
        <w:t xml:space="preserve">19.5 Student Attendance Statistics</w:t>
      </w:r>
      <w:bookmarkEnd w:id="100102"/>
    </w:p>
    <w:p>
      <w:pPr>
        <w:spacing w:after="80" w:line="312"/>
        <w:ind w:firstLine="360"/>
        <w:jc w:val="both"/>
      </w:pPr>
      <w:r>
        <w:rPr>
          <w:rFonts w:ascii="Calibri" w:eastAsia="Microsoft YaHei"/>
          <w:color w:val="1A1A1A"/>
          <w:sz w:val="22"/>
          <w:szCs w:val="22"/>
        </w:rPr>
        <w:t xml:space="preserve">A stacked bar chart similar to the teacher attendance statistics but aggregated across all students, with a class filter. The principal can select a specific class to see its attendance trend, helping identify classes with chronic absenteeism that may need parent outreach.</w:t>
      </w:r>
    </w:p>
    <w:p>
      <w:pPr>
        <w:pStyle w:val="Heading2"/>
        <w:spacing w:after="120" w:before="280" w:line="312"/>
      </w:pPr>
      <w:bookmarkStart w:id="100103" w:name="_Toc100103"/>
      <w:r>
        <w:rPr>
          <w:rFonts w:ascii="Calibri" w:eastAsia="SimHei"/>
          <w:b/>
          <w:bCs/>
          <w:color w:val="15857A"/>
          <w:sz w:val="28"/>
          <w:szCs w:val="28"/>
        </w:rPr>
        <w:t xml:space="preserve">19.6 Salary Expense Breakdown</w:t>
      </w:r>
      <w:bookmarkEnd w:id="100103"/>
    </w:p>
    <w:p>
      <w:pPr>
        <w:spacing w:after="80" w:line="312"/>
        <w:ind w:firstLine="360"/>
        <w:jc w:val="both"/>
      </w:pPr>
      <w:r>
        <w:rPr>
          <w:rFonts w:ascii="Calibri" w:eastAsia="Microsoft YaHei"/>
          <w:color w:val="1A1A1A"/>
          <w:sz w:val="22"/>
          <w:szCs w:val="22"/>
        </w:rPr>
        <w:t xml:space="preserve">A pie chart showing the current month's salary expense broken down by department (Teaching, Administration, Security, Housekeeping, Transport, Other). A second donut chart shows the breakdown of deductions (absenteeism, late, provident fund, other) for the same month. Together these charts show where the salary budget goes and how much is being lost to absenteeism.</w:t>
      </w:r>
    </w:p>
    <w:p>
      <w:pPr>
        <w:pStyle w:val="Heading2"/>
        <w:spacing w:after="120" w:before="280" w:line="312"/>
      </w:pPr>
      <w:bookmarkStart w:id="100104" w:name="_Toc100104"/>
      <w:r>
        <w:rPr>
          <w:rFonts w:ascii="Calibri" w:eastAsia="SimHei"/>
          <w:b/>
          <w:bCs/>
          <w:color w:val="15857A"/>
          <w:sz w:val="28"/>
          <w:szCs w:val="28"/>
        </w:rPr>
        <w:t xml:space="preserve">19.7 Monthly Profit &amp; Loss Summary</w:t>
      </w:r>
      <w:bookmarkEnd w:id="100104"/>
    </w:p>
    <w:p>
      <w:pPr>
        <w:spacing w:after="80" w:line="312"/>
        <w:ind w:firstLine="360"/>
        <w:jc w:val="both"/>
      </w:pPr>
      <w:r>
        <w:rPr>
          <w:rFonts w:ascii="Calibri" w:eastAsia="Microsoft YaHei"/>
          <w:color w:val="1A1A1A"/>
          <w:sz w:val="22"/>
          <w:szCs w:val="22"/>
        </w:rPr>
        <w:t xml:space="preserve">A combined chart showing monthly income (green bars), monthly expenses (red bars), and the resulting profit or loss (line) for the last twelve months. This is the closest the system comes to a full P&amp;L statement — income includes all fee collections and other income; expenses include all salary payments and any other recorded expenses. The chart provides a quick visual answer to the question "is the school profitable this month?" and supports longer-term financial planning.</w:t>
      </w:r>
    </w:p>
    <w:p>
      <w:pPr>
        <w:pStyle w:val="Heading1"/>
        <w:spacing w:after="160" w:before="360" w:line="312"/>
      </w:pPr>
      <w:bookmarkStart w:id="100105" w:name="_Toc100105"/>
      <w:r>
        <w:rPr>
          <w:rFonts w:ascii="Calibri" w:eastAsia="SimHei"/>
          <w:b/>
          <w:bCs/>
          <w:color w:val="15857A"/>
          <w:sz w:val="32"/>
          <w:szCs w:val="32"/>
        </w:rPr>
        <w:t xml:space="preserve">20. Module 15: User Management &amp; Permissions</w:t>
      </w:r>
      <w:bookmarkEnd w:id="100105"/>
    </w:p>
    <w:p>
      <w:pPr>
        <w:spacing w:after="80" w:line="312"/>
        <w:ind w:firstLine="360"/>
        <w:jc w:val="both"/>
      </w:pPr>
      <w:r>
        <w:rPr>
          <w:rFonts w:ascii="Calibri" w:eastAsia="Microsoft YaHei"/>
          <w:color w:val="1A1A1A"/>
          <w:sz w:val="22"/>
          <w:szCs w:val="22"/>
        </w:rPr>
        <w:t xml:space="preserve">The User Management module allows the Admin to create and manage user accounts for staff who will log into the system, and to assign each user one of the three roles defined in Section 3. Every action in the system — every Tauri command — is gated by a permission check that verifies the calling user's role has the required access level. This defense-in-depth approach ensures that even if a UI bug accidentally shows a button to an unauthorized user, the backend rejects the action.</w:t>
      </w:r>
    </w:p>
    <w:p>
      <w:pPr>
        <w:pStyle w:val="Heading2"/>
        <w:spacing w:after="120" w:before="280" w:line="312"/>
      </w:pPr>
      <w:bookmarkStart w:id="100106" w:name="_Toc100106"/>
      <w:r>
        <w:rPr>
          <w:rFonts w:ascii="Calibri" w:eastAsia="SimHei"/>
          <w:b/>
          <w:bCs/>
          <w:color w:val="15857A"/>
          <w:sz w:val="28"/>
          <w:szCs w:val="28"/>
        </w:rPr>
        <w:t xml:space="preserve">20.1 User Account CRUD</w:t>
      </w:r>
      <w:bookmarkEnd w:id="100106"/>
    </w:p>
    <w:p>
      <w:pPr>
        <w:spacing w:after="80" w:line="312"/>
        <w:ind w:firstLine="360"/>
        <w:jc w:val="both"/>
      </w:pPr>
      <w:r>
        <w:rPr>
          <w:rFonts w:ascii="Calibri" w:eastAsia="Microsoft YaHei"/>
          <w:color w:val="1A1A1A"/>
          <w:sz w:val="22"/>
          <w:szCs w:val="22"/>
        </w:rPr>
        <w:t xml:space="preserve">The Admin can create, edit, deactivate, and reset passwords for user accounts. Each account has: username (unique), full name, email (optional), role (Admin / Accountant / Teacher), assigned teacher or staff record (if the user is a Teacher or Staff), status (Active / Inactive), last login timestamp, and password hash. Passwords are hashed with bcrypt at ten rounds and never stored in plaintext. The Admin can force a password reset on next login, useful for new accounts and after a password reset request.</w:t>
      </w:r>
    </w:p>
    <w:p>
      <w:pPr>
        <w:pStyle w:val="Heading2"/>
        <w:spacing w:after="120" w:before="280" w:line="312"/>
      </w:pPr>
      <w:bookmarkStart w:id="100107" w:name="_Toc100107"/>
      <w:r>
        <w:rPr>
          <w:rFonts w:ascii="Calibri" w:eastAsia="SimHei"/>
          <w:b/>
          <w:bCs/>
          <w:color w:val="15857A"/>
          <w:sz w:val="28"/>
          <w:szCs w:val="28"/>
        </w:rPr>
        <w:t xml:space="preserve">20.2 Password Policy</w:t>
      </w:r>
      <w:bookmarkEnd w:id="100107"/>
    </w:p>
    <w:p>
      <w:pPr>
        <w:spacing w:after="80" w:line="312"/>
        <w:ind w:firstLine="360"/>
        <w:jc w:val="both"/>
      </w:pPr>
      <w:r>
        <w:rPr>
          <w:rFonts w:ascii="Calibri" w:eastAsia="Microsoft YaHei"/>
          <w:color w:val="1A1A1A"/>
          <w:sz w:val="22"/>
          <w:szCs w:val="22"/>
        </w:rPr>
        <w:t xml:space="preserve">The system enforces a configurable password policy: minimum eight characters, at least one letter and one number (default), with options to require uppercase and special characters. Passwords expire after ninety days (configurable), and the last five passwords cannot be reused. Failed login attempts are tracked; after five consecutive failures, the account is locked for fifteen minutes, after which it auto-unlocks. The Admin can manually unlock an account at any time.</w:t>
      </w:r>
    </w:p>
    <w:p>
      <w:pPr>
        <w:pStyle w:val="Heading2"/>
        <w:spacing w:after="120" w:before="280" w:line="312"/>
      </w:pPr>
      <w:bookmarkStart w:id="100108" w:name="_Toc100108"/>
      <w:r>
        <w:rPr>
          <w:rFonts w:ascii="Calibri" w:eastAsia="SimHei"/>
          <w:b/>
          <w:bCs/>
          <w:color w:val="15857A"/>
          <w:sz w:val="28"/>
          <w:szCs w:val="28"/>
        </w:rPr>
        <w:t xml:space="preserve">20.3 Session Management</w:t>
      </w:r>
      <w:bookmarkEnd w:id="100108"/>
    </w:p>
    <w:p>
      <w:pPr>
        <w:spacing w:after="80" w:line="312"/>
        <w:ind w:firstLine="360"/>
        <w:jc w:val="both"/>
      </w:pPr>
      <w:r>
        <w:rPr>
          <w:rFonts w:ascii="Calibri" w:eastAsia="Microsoft YaHei"/>
          <w:color w:val="1A1A1A"/>
          <w:sz w:val="22"/>
          <w:szCs w:val="22"/>
        </w:rPr>
        <w:t xml:space="preserve">After a successful login, the user's session is maintained with a JWT token signed by the backend and stored in the frontend's secure storage. The token expires after eight hours of inactivity (configurable), requiring re-login. On the backend, every Tauri command validates the token and checks the user's role before executing. A "log out of all devices" action is available in the user's profile, invalidating all outstanding tokens for that user.</w:t>
      </w:r>
    </w:p>
    <w:p>
      <w:pPr>
        <w:pStyle w:val="Heading2"/>
        <w:spacing w:after="120" w:before="280" w:line="312"/>
      </w:pPr>
      <w:bookmarkStart w:id="100109" w:name="_Toc100109"/>
      <w:r>
        <w:rPr>
          <w:rFonts w:ascii="Calibri" w:eastAsia="SimHei"/>
          <w:b/>
          <w:bCs/>
          <w:color w:val="15857A"/>
          <w:sz w:val="28"/>
          <w:szCs w:val="28"/>
        </w:rPr>
        <w:t xml:space="preserve">20.4 Activity Log</w:t>
      </w:r>
      <w:bookmarkEnd w:id="100109"/>
    </w:p>
    <w:p>
      <w:pPr>
        <w:spacing w:after="80" w:line="312"/>
        <w:ind w:firstLine="360"/>
        <w:jc w:val="both"/>
      </w:pPr>
      <w:r>
        <w:rPr>
          <w:rFonts w:ascii="Calibri" w:eastAsia="Microsoft YaHei"/>
          <w:color w:val="1A1A1A"/>
          <w:sz w:val="22"/>
          <w:szCs w:val="22"/>
        </w:rPr>
        <w:t xml:space="preserve">Every meaningful action — login, fee collection, salary finalization, certificate issuance, settings change, user creation — is recorded in the activity_log table with the acting user's ID, timestamp, action type, and a JSON payload of action details. The activity log is viewable in the Reports module (filtered by user, action type, and date range) and provides a complete audit trail. The log is retained indefinitely — it is never automatically purged — and the Admin can export it to Excel for external audit purposes.</w:t>
      </w:r>
    </w:p>
    <w:p>
      <w:pPr>
        <w:pStyle w:val="Heading1"/>
        <w:spacing w:after="160" w:before="360" w:line="312"/>
      </w:pPr>
      <w:bookmarkStart w:id="100110" w:name="_Toc100110"/>
      <w:r>
        <w:rPr>
          <w:rFonts w:ascii="Calibri" w:eastAsia="SimHei"/>
          <w:b/>
          <w:bCs/>
          <w:color w:val="15857A"/>
          <w:sz w:val="32"/>
          <w:szCs w:val="32"/>
        </w:rPr>
        <w:t xml:space="preserve">21. Module 16: Settings</w:t>
      </w:r>
      <w:bookmarkEnd w:id="100110"/>
    </w:p>
    <w:p>
      <w:pPr>
        <w:spacing w:after="80" w:line="312"/>
        <w:ind w:firstLine="360"/>
        <w:jc w:val="both"/>
      </w:pPr>
      <w:r>
        <w:rPr>
          <w:rFonts w:ascii="Calibri" w:eastAsia="Microsoft YaHei"/>
          <w:color w:val="1A1A1A"/>
          <w:sz w:val="22"/>
          <w:szCs w:val="22"/>
        </w:rPr>
        <w:t xml:space="preserve">The Settings module consolidates all school-wide configuration into one screen, organized into six tabs. Settings are stored in a single key-value table (settings) in the database, with the exception of fine rules and fee structures which have their own normalized tables. All settings changes are logged in the activity log with the previous and new values, providing a complete audit trail of configuration changes.</w:t>
      </w:r>
    </w:p>
    <w:p>
      <w:pPr>
        <w:pStyle w:val="Heading2"/>
        <w:spacing w:after="120" w:before="280" w:line="312"/>
      </w:pPr>
      <w:bookmarkStart w:id="100111" w:name="_Toc100111"/>
      <w:r>
        <w:rPr>
          <w:rFonts w:ascii="Calibri" w:eastAsia="SimHei"/>
          <w:b/>
          <w:bCs/>
          <w:color w:val="15857A"/>
          <w:sz w:val="28"/>
          <w:szCs w:val="28"/>
        </w:rPr>
        <w:t xml:space="preserve">21.1 School Information</w:t>
      </w:r>
      <w:bookmarkEnd w:id="100111"/>
    </w:p>
    <w:p>
      <w:pPr>
        <w:spacing w:after="80" w:line="312"/>
        <w:ind w:firstLine="360"/>
        <w:jc w:val="both"/>
      </w:pPr>
      <w:r>
        <w:rPr>
          <w:rFonts w:ascii="Calibri" w:eastAsia="Microsoft YaHei"/>
          <w:color w:val="1A1A1A"/>
          <w:sz w:val="22"/>
          <w:szCs w:val="22"/>
        </w:rPr>
        <w:t xml:space="preserve">Captures the school's name, address, phone, email, website, logo (uploaded as a PNG/JPG, stored in the database as a base64 blob), academic session start and end dates, and the school's fiscal year (calendar or July–June). This information appears on every printed document (receipts, certificates, result cards, salary slips) and on the dashboard header.</w:t>
      </w:r>
    </w:p>
    <w:p>
      <w:pPr>
        <w:pStyle w:val="Heading2"/>
        <w:spacing w:after="120" w:before="280" w:line="312"/>
      </w:pPr>
      <w:bookmarkStart w:id="100112" w:name="_Toc100112"/>
      <w:r>
        <w:rPr>
          <w:rFonts w:ascii="Calibri" w:eastAsia="SimHei"/>
          <w:b/>
          <w:bCs/>
          <w:color w:val="15857A"/>
          <w:sz w:val="28"/>
          <w:szCs w:val="28"/>
        </w:rPr>
        <w:t xml:space="preserve">21.2 Fine Rules</w:t>
      </w:r>
      <w:bookmarkEnd w:id="100112"/>
    </w:p>
    <w:p>
      <w:pPr>
        <w:spacing w:after="80" w:line="312"/>
        <w:ind w:firstLine="360"/>
        <w:jc w:val="both"/>
      </w:pPr>
      <w:r>
        <w:rPr>
          <w:rFonts w:ascii="Calibri" w:eastAsia="Microsoft YaHei"/>
          <w:color w:val="1A1A1A"/>
          <w:sz w:val="22"/>
          <w:szCs w:val="22"/>
        </w:rPr>
        <w:t xml:space="preserve">Configures the attendance-based fine rules described in Section 13.2: late fine amount, half-day deduction percentage, leave paid/unpaid toggle, and per-day salary calculation basis (working days vs. calendar days). The rules apply uniformly to all teachers and staff; per-person overrides are configured on the individual employee record.</w:t>
      </w:r>
    </w:p>
    <w:p>
      <w:pPr>
        <w:pStyle w:val="Heading2"/>
        <w:spacing w:after="120" w:before="280" w:line="312"/>
      </w:pPr>
      <w:bookmarkStart w:id="100113" w:name="_Toc100113"/>
      <w:r>
        <w:rPr>
          <w:rFonts w:ascii="Calibri" w:eastAsia="SimHei"/>
          <w:b/>
          <w:bCs/>
          <w:color w:val="15857A"/>
          <w:sz w:val="28"/>
          <w:szCs w:val="28"/>
        </w:rPr>
        <w:t xml:space="preserve">21.3 Fee Settings</w:t>
      </w:r>
      <w:bookmarkEnd w:id="100113"/>
    </w:p>
    <w:p>
      <w:pPr>
        <w:spacing w:after="80" w:line="312"/>
        <w:ind w:firstLine="360"/>
        <w:jc w:val="both"/>
      </w:pPr>
      <w:r>
        <w:rPr>
          <w:rFonts w:ascii="Calibri" w:eastAsia="Microsoft YaHei"/>
          <w:color w:val="1A1A1A"/>
          <w:sz w:val="22"/>
          <w:szCs w:val="22"/>
        </w:rPr>
        <w:t xml:space="preserve">Configures the fee due date each month, the late fee calculation method (fixed amount or percentage), the late fee amount, whether partial payments are allowed, the receipt number prefix and starting sequence, and the receipt paper size (A5 or thermal 80mm). Changes to these settings take effect from the next fee collection; existing receipts are not retroactively affected.</w:t>
      </w:r>
    </w:p>
    <w:p>
      <w:pPr>
        <w:pStyle w:val="Heading2"/>
        <w:spacing w:after="120" w:before="280" w:line="312"/>
      </w:pPr>
      <w:bookmarkStart w:id="100114" w:name="_Toc100114"/>
      <w:r>
        <w:rPr>
          <w:rFonts w:ascii="Calibri" w:eastAsia="SimHei"/>
          <w:b/>
          <w:bCs/>
          <w:color w:val="15857A"/>
          <w:sz w:val="28"/>
          <w:szCs w:val="28"/>
        </w:rPr>
        <w:t xml:space="preserve">21.4 User Accounts</w:t>
      </w:r>
      <w:bookmarkEnd w:id="100114"/>
    </w:p>
    <w:p>
      <w:pPr>
        <w:spacing w:after="80" w:line="312"/>
        <w:ind w:firstLine="360"/>
        <w:jc w:val="both"/>
      </w:pPr>
      <w:r>
        <w:rPr>
          <w:rFonts w:ascii="Calibri" w:eastAsia="Microsoft YaHei"/>
          <w:color w:val="1A1A1A"/>
          <w:sz w:val="22"/>
          <w:szCs w:val="22"/>
        </w:rPr>
        <w:t xml:space="preserve">A shortcut to the User Management module, allowing the Admin to create and manage user accounts without leaving the Settings screen.</w:t>
      </w:r>
    </w:p>
    <w:p>
      <w:pPr>
        <w:pStyle w:val="Heading2"/>
        <w:spacing w:after="120" w:before="280" w:line="312"/>
      </w:pPr>
      <w:bookmarkStart w:id="100115" w:name="_Toc100115"/>
      <w:r>
        <w:rPr>
          <w:rFonts w:ascii="Calibri" w:eastAsia="SimHei"/>
          <w:b/>
          <w:bCs/>
          <w:color w:val="15857A"/>
          <w:sz w:val="28"/>
          <w:szCs w:val="28"/>
        </w:rPr>
        <w:t xml:space="preserve">21.5 Backup &amp; Restore</w:t>
      </w:r>
      <w:bookmarkEnd w:id="100115"/>
    </w:p>
    <w:p>
      <w:pPr>
        <w:spacing w:after="80" w:line="312"/>
        <w:ind w:firstLine="360"/>
        <w:jc w:val="both"/>
      </w:pPr>
      <w:r>
        <w:rPr>
          <w:rFonts w:ascii="Calibri" w:eastAsia="Microsoft YaHei"/>
          <w:color w:val="1A1A1A"/>
          <w:sz w:val="22"/>
          <w:szCs w:val="22"/>
        </w:rPr>
        <w:t xml:space="preserve">Provides manual backup (one-click, saves a timestamped .db backup file to a user-selected location) and restore (selects a .db backup file and restores the database to that state). Automatic daily backup can be enabled, with a configurable backup time and retention count (default: keep last seven backups). Backup files are full copies of the SQLite database — there is no incremental backup — so a restore fully replaces the current database. The restore action requires the Admin password to be re-entered as a safety measure.</w:t>
      </w:r>
    </w:p>
    <w:p>
      <w:pPr>
        <w:pStyle w:val="Heading2"/>
        <w:spacing w:after="120" w:before="280" w:line="312"/>
      </w:pPr>
      <w:bookmarkStart w:id="100116" w:name="_Toc100116"/>
      <w:r>
        <w:rPr>
          <w:rFonts w:ascii="Calibri" w:eastAsia="SimHei"/>
          <w:b/>
          <w:bCs/>
          <w:color w:val="15857A"/>
          <w:sz w:val="28"/>
          <w:szCs w:val="28"/>
        </w:rPr>
        <w:t xml:space="preserve">21.6 Appearance &amp; Localization</w:t>
      </w:r>
      <w:bookmarkEnd w:id="100116"/>
    </w:p>
    <w:p>
      <w:pPr>
        <w:spacing w:after="80" w:line="312"/>
        <w:ind w:firstLine="360"/>
        <w:jc w:val="both"/>
      </w:pPr>
      <w:r>
        <w:rPr>
          <w:rFonts w:ascii="Calibri" w:eastAsia="Microsoft YaHei"/>
          <w:color w:val="1A1A1A"/>
          <w:sz w:val="22"/>
          <w:szCs w:val="22"/>
        </w:rPr>
        <w:t xml:space="preserve">Toggles between light and dark theme (the choice is persisted per user), selects the display language (English only in v1.0, with Urdu and Arabic reserved for v2.0), and configures the currency symbol and date format used throughout the application. The default currency is PKR (Rs.) and the default date format is DD/MM/YYYY for the Pakistan region.</w:t>
      </w:r>
    </w:p>
    <w:p>
      <w:pPr>
        <w:pStyle w:val="Heading1"/>
        <w:spacing w:after="160" w:before="360" w:line="312"/>
      </w:pPr>
      <w:bookmarkStart w:id="100117" w:name="_Toc100117"/>
      <w:r>
        <w:rPr>
          <w:rFonts w:ascii="Calibri" w:eastAsia="SimHei"/>
          <w:b/>
          <w:bCs/>
          <w:color w:val="15857A"/>
          <w:sz w:val="32"/>
          <w:szCs w:val="32"/>
        </w:rPr>
        <w:t xml:space="preserve">22. Extra Features</w:t>
      </w:r>
      <w:bookmarkEnd w:id="100117"/>
    </w:p>
    <w:p>
      <w:pPr>
        <w:spacing w:after="80" w:line="312"/>
        <w:ind w:firstLine="360"/>
        <w:jc w:val="both"/>
      </w:pPr>
      <w:r>
        <w:rPr>
          <w:rFonts w:ascii="Calibri" w:eastAsia="Microsoft YaHei"/>
          <w:color w:val="1A1A1A"/>
          <w:sz w:val="22"/>
          <w:szCs w:val="22"/>
        </w:rPr>
        <w:t xml:space="preserve">Beyond the sixteen modules, the application includes a set of cross-cutting features that improve usability, reduce manual work, and enhance the professional appearance of the school's printed outputs. These features are not modules in themselves but are woven throughout the application.</w:t>
      </w:r>
    </w:p>
    <w:p>
      <w:pPr>
        <w:pStyle w:val="ListParagraph"/>
        <w:numPr>
          <w:ilvl w:val="0"/>
          <w:numId w:val="1"/>
        </w:numPr>
        <w:spacing w:after="60" w:line="312"/>
      </w:pPr>
      <w:r>
        <w:rPr>
          <w:rFonts w:ascii="Calibri" w:eastAsia="Microsoft YaHei"/>
          <w:color w:val="1A1A1A"/>
          <w:sz w:val="22"/>
          <w:szCs w:val="22"/>
        </w:rPr>
        <w:t xml:space="preserve">Automatic receipt numbering — every fee receipt gets a unique, sequential, never-reused number with a configurable prefix, generated atomically by the backend to prevent duplicates even under concurrent collection.</w:t>
      </w:r>
    </w:p>
    <w:p>
      <w:pPr>
        <w:pStyle w:val="ListParagraph"/>
        <w:numPr>
          <w:ilvl w:val="0"/>
          <w:numId w:val="1"/>
        </w:numPr>
        <w:spacing w:after="60" w:line="312"/>
      </w:pPr>
      <w:r>
        <w:rPr>
          <w:rFonts w:ascii="Calibri" w:eastAsia="Microsoft YaHei"/>
          <w:color w:val="1A1A1A"/>
          <w:sz w:val="22"/>
          <w:szCs w:val="22"/>
        </w:rPr>
        <w:t xml:space="preserve">Automatic student ID and roll number — student IDs are generated at admission with a configurable format (default SCH-YYYY-NNNN); roll numbers are auto-assigned within a section based on admission order, with manual override available.</w:t>
      </w:r>
    </w:p>
    <w:p>
      <w:pPr>
        <w:pStyle w:val="ListParagraph"/>
        <w:numPr>
          <w:ilvl w:val="0"/>
          <w:numId w:val="1"/>
        </w:numPr>
        <w:spacing w:after="60" w:line="312"/>
      </w:pPr>
      <w:r>
        <w:rPr>
          <w:rFonts w:ascii="Calibri" w:eastAsia="Microsoft YaHei"/>
          <w:color w:val="1A1A1A"/>
          <w:sz w:val="22"/>
          <w:szCs w:val="22"/>
        </w:rPr>
        <w:t xml:space="preserve">QR code on student ID card — each printed ID card includes a QR code encoding the student ID, scannable by any standard QR reader for quick student lookup (future v2.0 will add scanner integration at the fee counter and attendance kiosk).</w:t>
      </w:r>
    </w:p>
    <w:p>
      <w:pPr>
        <w:pStyle w:val="ListParagraph"/>
        <w:numPr>
          <w:ilvl w:val="0"/>
          <w:numId w:val="1"/>
        </w:numPr>
        <w:spacing w:after="60" w:line="312"/>
      </w:pPr>
      <w:r>
        <w:rPr>
          <w:rFonts w:ascii="Calibri" w:eastAsia="Microsoft YaHei"/>
          <w:color w:val="1A1A1A"/>
          <w:sz w:val="22"/>
          <w:szCs w:val="22"/>
        </w:rPr>
        <w:t xml:space="preserve">Professional receipt printing — receipts use the school's letterhead, accent color, and a clean layout suitable for both A5 laser and 80mm thermal printers, with the amount in words and a signature line.</w:t>
      </w:r>
    </w:p>
    <w:p>
      <w:pPr>
        <w:pStyle w:val="ListParagraph"/>
        <w:numPr>
          <w:ilvl w:val="0"/>
          <w:numId w:val="1"/>
        </w:numPr>
        <w:spacing w:after="60" w:line="312"/>
      </w:pPr>
      <w:r>
        <w:rPr>
          <w:rFonts w:ascii="Calibri" w:eastAsia="Microsoft YaHei"/>
          <w:color w:val="1A1A1A"/>
          <w:sz w:val="22"/>
          <w:szCs w:val="22"/>
        </w:rPr>
        <w:t xml:space="preserve">PDF and Excel export — every report and every printable document is available as both PDF (for printing and archival) and Excel (for further analysis), generated client-side for instant output.</w:t>
      </w:r>
    </w:p>
    <w:p>
      <w:pPr>
        <w:pStyle w:val="ListParagraph"/>
        <w:numPr>
          <w:ilvl w:val="0"/>
          <w:numId w:val="1"/>
        </w:numPr>
        <w:spacing w:after="60" w:line="312"/>
      </w:pPr>
      <w:r>
        <w:rPr>
          <w:rFonts w:ascii="Calibri" w:eastAsia="Microsoft YaHei"/>
          <w:color w:val="1A1A1A"/>
          <w:sz w:val="22"/>
          <w:szCs w:val="22"/>
        </w:rPr>
        <w:t xml:space="preserve">Global search — a single search box accessible from any screen via Ctrl+K, searching across students, teachers, staff, receipts, and certificates; selecting a result navigates directly to the corresponding record.</w:t>
      </w:r>
    </w:p>
    <w:p>
      <w:pPr>
        <w:pStyle w:val="ListParagraph"/>
        <w:numPr>
          <w:ilvl w:val="0"/>
          <w:numId w:val="1"/>
        </w:numPr>
        <w:spacing w:after="60" w:line="312"/>
      </w:pPr>
      <w:r>
        <w:rPr>
          <w:rFonts w:ascii="Calibri" w:eastAsia="Microsoft YaHei"/>
          <w:color w:val="1A1A1A"/>
          <w:sz w:val="22"/>
          <w:szCs w:val="22"/>
        </w:rPr>
        <w:t xml:space="preserve">Dark and light theme — both themes are fully supported with the same color palette; the choice is per-user and persisted across sessions.</w:t>
      </w:r>
    </w:p>
    <w:p>
      <w:pPr>
        <w:pStyle w:val="ListParagraph"/>
        <w:numPr>
          <w:ilvl w:val="0"/>
          <w:numId w:val="1"/>
        </w:numPr>
        <w:spacing w:after="60" w:line="312"/>
      </w:pPr>
      <w:r>
        <w:rPr>
          <w:rFonts w:ascii="Calibri" w:eastAsia="Microsoft YaHei"/>
          <w:color w:val="1A1A1A"/>
          <w:sz w:val="22"/>
          <w:szCs w:val="22"/>
        </w:rPr>
        <w:t xml:space="preserve">Automatic database backup — a daily backup runs at a configurable time, keeping the last seven backups by default; backups are full SQLite database files stored on the local disk.</w:t>
      </w:r>
    </w:p>
    <w:p>
      <w:pPr>
        <w:pStyle w:val="ListParagraph"/>
        <w:numPr>
          <w:ilvl w:val="0"/>
          <w:numId w:val="1"/>
        </w:numPr>
        <w:spacing w:after="60" w:line="312"/>
      </w:pPr>
      <w:r>
        <w:rPr>
          <w:rFonts w:ascii="Calibri" w:eastAsia="Microsoft YaHei"/>
          <w:color w:val="1A1A1A"/>
          <w:sz w:val="22"/>
          <w:szCs w:val="22"/>
        </w:rPr>
        <w:t xml:space="preserve">Fully offline operation — no internet connection is required at any point; the application runs entirely on the local machine with the local SQLite database.</w:t>
      </w:r>
    </w:p>
    <w:p>
      <w:pPr>
        <w:pStyle w:val="ListParagraph"/>
        <w:numPr>
          <w:ilvl w:val="0"/>
          <w:numId w:val="1"/>
        </w:numPr>
        <w:spacing w:after="60" w:line="312"/>
      </w:pPr>
      <w:r>
        <w:rPr>
          <w:rFonts w:ascii="Calibri" w:eastAsia="Microsoft YaHei"/>
          <w:color w:val="1A1A1A"/>
          <w:sz w:val="22"/>
          <w:szCs w:val="22"/>
        </w:rPr>
        <w:t xml:space="preserve">Fast SQLite database — SQLite in WAL mode delivers sub-100ms query times for all common operations, even with one thousand students and ten years of historical data.</w:t>
      </w:r>
    </w:p>
    <w:p>
      <w:pPr>
        <w:pStyle w:val="ListParagraph"/>
        <w:numPr>
          <w:ilvl w:val="0"/>
          <w:numId w:val="1"/>
        </w:numPr>
        <w:spacing w:after="60" w:line="312"/>
      </w:pPr>
      <w:r>
        <w:rPr>
          <w:rFonts w:ascii="Calibri" w:eastAsia="Microsoft YaHei"/>
          <w:color w:val="1A1A1A"/>
          <w:sz w:val="22"/>
          <w:szCs w:val="22"/>
        </w:rPr>
        <w:t xml:space="preserve">Clean, modern desktop UI — Tailwind CSS and shadcn/ui provide a consistent, accessible, modern interface that requires minimal training for non-technical school staff.</w:t>
      </w:r>
    </w:p>
    <w:p>
      <w:pPr>
        <w:pStyle w:val="ListParagraph"/>
        <w:numPr>
          <w:ilvl w:val="0"/>
          <w:numId w:val="1"/>
        </w:numPr>
        <w:spacing w:after="60" w:line="312"/>
      </w:pPr>
      <w:r>
        <w:rPr>
          <w:rFonts w:ascii="Calibri" w:eastAsia="Microsoft YaHei"/>
          <w:color w:val="1A1A1A"/>
          <w:sz w:val="22"/>
          <w:szCs w:val="22"/>
        </w:rPr>
        <w:t xml:space="preserve">One-click reports — the most-used reports (daily attendance, monthly defaulter, monthly salary summary) are accessible from the dashboard with sensible defaults pre-filled, reducing the path from question to answer to a single click.</w:t>
      </w:r>
    </w:p>
    <w:p>
      <w:pPr>
        <w:pStyle w:val="Heading1"/>
        <w:spacing w:after="160" w:before="360" w:line="312"/>
      </w:pPr>
      <w:bookmarkStart w:id="100118" w:name="_Toc100118"/>
      <w:r>
        <w:rPr>
          <w:rFonts w:ascii="Calibri" w:eastAsia="SimHei"/>
          <w:b/>
          <w:bCs/>
          <w:color w:val="15857A"/>
          <w:sz w:val="32"/>
          <w:szCs w:val="32"/>
        </w:rPr>
        <w:t xml:space="preserve">23. Non-Functional Requirements</w:t>
      </w:r>
      <w:bookmarkEnd w:id="100118"/>
    </w:p>
    <w:p>
      <w:pPr>
        <w:spacing w:after="80" w:line="312"/>
        <w:ind w:firstLine="360"/>
        <w:jc w:val="both"/>
      </w:pPr>
      <w:r>
        <w:rPr>
          <w:rFonts w:ascii="Calibri" w:eastAsia="Microsoft YaHei"/>
          <w:color w:val="1A1A1A"/>
          <w:sz w:val="22"/>
          <w:szCs w:val="22"/>
        </w:rPr>
        <w:t xml:space="preserve">The non-functional requirements define the quality attributes the system must satisfy alongside the functional features. These requirements are testable and are validated during the QA phase before release.</w:t>
      </w:r>
    </w:p>
    <w:p>
      <w:pPr>
        <w:pStyle w:val="Heading2"/>
        <w:spacing w:after="120" w:before="280" w:line="312"/>
      </w:pPr>
      <w:bookmarkStart w:id="100119" w:name="_Toc100119"/>
      <w:r>
        <w:rPr>
          <w:rFonts w:ascii="Calibri" w:eastAsia="SimHei"/>
          <w:b/>
          <w:bCs/>
          <w:color w:val="15857A"/>
          <w:sz w:val="28"/>
          <w:szCs w:val="28"/>
        </w:rPr>
        <w:t xml:space="preserve">23.1 Performance</w:t>
      </w:r>
      <w:bookmarkEnd w:id="100119"/>
    </w:p>
    <w:p>
      <w:pPr>
        <w:spacing w:after="80" w:line="312"/>
        <w:ind w:firstLine="360"/>
        <w:jc w:val="both"/>
      </w:pPr>
      <w:r>
        <w:rPr>
          <w:rFonts w:ascii="Calibri" w:eastAsia="Microsoft YaHei"/>
          <w:color w:val="1A1A1A"/>
          <w:sz w:val="22"/>
          <w:szCs w:val="22"/>
        </w:rPr>
        <w:t xml:space="preserve">The application must launch to a usable dashboard in under two seconds on a mid-range laptop (Intel i5, 8GB RAM, SSD). All list views (students, teachers, fee collections) must render one hundred rows in under five hundred milliseconds. All reports must generate and display a print preview in under three seconds for a school with one thousand students. The fee collection workflow (from student search to receipt preview) must complete in under thirty seconds. Salary calculation for one hundred employees must complete in under three seconds. These targets are validated with automated performance tests run on each release build.</w:t>
      </w:r>
    </w:p>
    <w:p>
      <w:pPr>
        <w:pStyle w:val="Heading2"/>
        <w:spacing w:after="120" w:before="280" w:line="312"/>
      </w:pPr>
      <w:bookmarkStart w:id="100120" w:name="_Toc100120"/>
      <w:r>
        <w:rPr>
          <w:rFonts w:ascii="Calibri" w:eastAsia="SimHei"/>
          <w:b/>
          <w:bCs/>
          <w:color w:val="15857A"/>
          <w:sz w:val="28"/>
          <w:szCs w:val="28"/>
        </w:rPr>
        <w:t xml:space="preserve">23.2 Reliability</w:t>
      </w:r>
      <w:bookmarkEnd w:id="100120"/>
    </w:p>
    <w:p>
      <w:pPr>
        <w:spacing w:after="80" w:line="312"/>
        <w:ind w:firstLine="360"/>
        <w:jc w:val="both"/>
      </w:pPr>
      <w:r>
        <w:rPr>
          <w:rFonts w:ascii="Calibri" w:eastAsia="Microsoft YaHei"/>
          <w:color w:val="1A1A1A"/>
          <w:sz w:val="22"/>
          <w:szCs w:val="22"/>
        </w:rPr>
        <w:t xml:space="preserve">The system must never lose committed data — even in the event of a power failure or operating system crash mid-operation. SQLite's ACID compliance guarantees this at the database level; the Rust business logic layer wraps each multi-step operation (e.g., fee collection with receipt generation) in a single database transaction so that either all changes are committed or none are. The application must handle network and file system errors gracefully, with clear error messages and no data corruption. Automatic backups provide a second layer of data protection, allowing recovery to any point in the last seven days.</w:t>
      </w:r>
    </w:p>
    <w:p>
      <w:pPr>
        <w:pStyle w:val="Heading2"/>
        <w:spacing w:after="120" w:before="280" w:line="312"/>
      </w:pPr>
      <w:bookmarkStart w:id="100121" w:name="_Toc100121"/>
      <w:r>
        <w:rPr>
          <w:rFonts w:ascii="Calibri" w:eastAsia="SimHei"/>
          <w:b/>
          <w:bCs/>
          <w:color w:val="15857A"/>
          <w:sz w:val="28"/>
          <w:szCs w:val="28"/>
        </w:rPr>
        <w:t xml:space="preserve">23.3 Security</w:t>
      </w:r>
      <w:bookmarkEnd w:id="100121"/>
    </w:p>
    <w:p>
      <w:pPr>
        <w:spacing w:after="80" w:line="312"/>
        <w:ind w:firstLine="360"/>
        <w:jc w:val="both"/>
      </w:pPr>
      <w:r>
        <w:rPr>
          <w:rFonts w:ascii="Calibri" w:eastAsia="Microsoft YaHei"/>
          <w:color w:val="1A1A1A"/>
          <w:sz w:val="22"/>
          <w:szCs w:val="22"/>
        </w:rPr>
        <w:t xml:space="preserve">Although the application is offline and local, security is still important — school data is sensitive. The SQLite database file is stored in the user's app data directory with file system permissions restricting access to the current user. User passwords are hashed with bcrypt at ten rounds; the JWT session tokens are signed with a secret generated at first run and stored in the app data directory. Every Tauri command validates the calling user's role before executing, providing defense in depth. The activity log records every meaningful action for audit purposes.</w:t>
      </w:r>
    </w:p>
    <w:p>
      <w:pPr>
        <w:pStyle w:val="Heading2"/>
        <w:spacing w:after="120" w:before="280" w:line="312"/>
      </w:pPr>
      <w:bookmarkStart w:id="100122" w:name="_Toc100122"/>
      <w:r>
        <w:rPr>
          <w:rFonts w:ascii="Calibri" w:eastAsia="SimHei"/>
          <w:b/>
          <w:bCs/>
          <w:color w:val="15857A"/>
          <w:sz w:val="28"/>
          <w:szCs w:val="28"/>
        </w:rPr>
        <w:t xml:space="preserve">23.4 Usability</w:t>
      </w:r>
      <w:bookmarkEnd w:id="100122"/>
    </w:p>
    <w:p>
      <w:pPr>
        <w:spacing w:after="80" w:line="312"/>
        <w:ind w:firstLine="360"/>
        <w:jc w:val="both"/>
      </w:pPr>
      <w:r>
        <w:rPr>
          <w:rFonts w:ascii="Calibri" w:eastAsia="Microsoft YaHei"/>
          <w:color w:val="1A1A1A"/>
          <w:sz w:val="22"/>
          <w:szCs w:val="22"/>
        </w:rPr>
        <w:t xml:space="preserve">The application must be learnable by non-technical school staff (typical user: a 40-year-old school accountant with basic computer literacy) in under two hours of guided training. The dashboard must be self-explanatory — every tile and button must have a clear label and an optional tooltip. Common workflows (collect fee, mark attendance, print result card) must be completable in five or fewer clicks from the dashboard. The application ships with sample demo data (a fictional school with twenty students, five teachers, and three months of historical data) that allows new users to explore every feature without entering real data.</w:t>
      </w:r>
    </w:p>
    <w:p>
      <w:pPr>
        <w:pStyle w:val="Heading2"/>
        <w:spacing w:after="120" w:before="280" w:line="312"/>
      </w:pPr>
      <w:bookmarkStart w:id="100123" w:name="_Toc100123"/>
      <w:r>
        <w:rPr>
          <w:rFonts w:ascii="Calibri" w:eastAsia="SimHei"/>
          <w:b/>
          <w:bCs/>
          <w:color w:val="15857A"/>
          <w:sz w:val="28"/>
          <w:szCs w:val="28"/>
        </w:rPr>
        <w:t xml:space="preserve">23.5 Portability</w:t>
      </w:r>
      <w:bookmarkEnd w:id="100123"/>
    </w:p>
    <w:p>
      <w:pPr>
        <w:spacing w:after="80" w:line="312"/>
        <w:ind w:firstLine="360"/>
        <w:jc w:val="both"/>
      </w:pPr>
      <w:r>
        <w:rPr>
          <w:rFonts w:ascii="Calibri" w:eastAsia="Microsoft YaHei"/>
          <w:color w:val="1A1A1A"/>
          <w:sz w:val="22"/>
          <w:szCs w:val="22"/>
        </w:rPr>
        <w:t xml:space="preserve">The application must run on Windows 10 and 11 (64-bit), macOS 12 Monterey and later, and Ubuntu 22.04 LTS and later. The same binary build is packaged for each operating system using Tauri's bundler (MSI and NSIS installers for Windows, DMG for macOS, AppImage and .deb for Linux). The application does not require administrative privileges to install or run. The database file, settings, and logs are stored in the user's app data directory, ensuring per-user isolation on multi-user machines.</w:t>
      </w:r>
    </w:p>
    <w:p>
      <w:pPr>
        <w:pStyle w:val="Heading2"/>
        <w:spacing w:after="120" w:before="280" w:line="312"/>
      </w:pPr>
      <w:bookmarkStart w:id="100124" w:name="_Toc100124"/>
      <w:r>
        <w:rPr>
          <w:rFonts w:ascii="Calibri" w:eastAsia="SimHei"/>
          <w:b/>
          <w:bCs/>
          <w:color w:val="15857A"/>
          <w:sz w:val="28"/>
          <w:szCs w:val="28"/>
        </w:rPr>
        <w:t xml:space="preserve">23.6 Maintainability</w:t>
      </w:r>
      <w:bookmarkEnd w:id="100124"/>
    </w:p>
    <w:p>
      <w:pPr>
        <w:spacing w:after="80" w:line="312"/>
        <w:ind w:firstLine="360"/>
        <w:jc w:val="both"/>
      </w:pPr>
      <w:r>
        <w:rPr>
          <w:rFonts w:ascii="Calibri" w:eastAsia="Microsoft YaHei"/>
          <w:color w:val="1A1A1A"/>
          <w:sz w:val="22"/>
          <w:szCs w:val="22"/>
        </w:rPr>
        <w:t xml:space="preserve">The codebase must be maintainable by a single developer after the original team has moved on. The seven-layer architecture enforces separation of concerns; every module has a single responsibility; functions are documented with doc comments; and the README in each directory explains its purpose. Database migrations are version-controlled and forward-only, allowing the schema to evolve without manual SQL intervention. The CI pipeline runs TypeScript type checks, Rust clippy lint, and unit tests on every commit, preventing regressions from being merged.</w:t>
      </w:r>
    </w:p>
    <w:p>
      <w:pPr>
        <w:pStyle w:val="Heading1"/>
        <w:spacing w:after="160" w:before="360" w:line="312"/>
      </w:pPr>
      <w:bookmarkStart w:id="100125" w:name="_Toc100125"/>
      <w:r>
        <w:rPr>
          <w:rFonts w:ascii="Calibri" w:eastAsia="SimHei"/>
          <w:b/>
          <w:bCs/>
          <w:color w:val="15857A"/>
          <w:sz w:val="32"/>
          <w:szCs w:val="32"/>
        </w:rPr>
        <w:t xml:space="preserve">24. Data Model Overview</w:t>
      </w:r>
      <w:bookmarkEnd w:id="100125"/>
    </w:p>
    <w:p>
      <w:pPr>
        <w:spacing w:after="80" w:line="312"/>
        <w:ind w:firstLine="360"/>
        <w:jc w:val="both"/>
      </w:pPr>
      <w:r>
        <w:rPr>
          <w:rFonts w:ascii="Calibri" w:eastAsia="Microsoft YaHei"/>
          <w:color w:val="1A1A1A"/>
          <w:sz w:val="22"/>
          <w:szCs w:val="22"/>
        </w:rPr>
        <w:t xml:space="preserve">The database schema consists of twenty-one core tables organized by domain. The tables are created by versioned SQL migrations managed by the refinery library, applied automatically at application startup. All foreign keys have ON DELETE RESTRICT by default (preventing deletion of referenced records) except for student-related tables which use ON DELETE CASCADE for child records like attendance and marks. The full schema is documented in the migrations directory; the table below summarizes the core entities.</w:t>
      </w:r>
    </w:p>
    <w:p>
      <w:pPr>
        <w:keepNext/>
        <w:spacing w:after="80" w:before="160"/>
      </w:pPr>
      <w:r>
        <w:rPr>
          <w:rFonts w:ascii="Calibri" w:eastAsia="SimHei"/>
          <w:b/>
          <w:bCs/>
          <w:color w:val="15857A"/>
          <w:sz w:val="21"/>
          <w:szCs w:val="21"/>
        </w:rPr>
        <w:t xml:space="preserve">Table 9: Core Database Tables</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gridCol w:w="100"/>
      </w:tblGrid>
      <w:tr>
        <w:trPr>
          <w:cantSplit/>
          <w:tblHeader/>
        </w:trPr>
        <w:tc>
          <w:tcPr>
            <w:tcW w:type="pct" w:w="18%"/>
            <w:shd w:fill="15857A" w:val="clear"/>
            <w:tcMar>
              <w:top w:type="dxa" w:w="80"/>
              <w:left w:type="dxa" w:w="120"/>
              <w:bottom w:type="dxa" w:w="80"/>
              <w:right w:type="dxa" w:w="120"/>
            </w:tcMar>
          </w:tcPr>
          <w:p>
            <w:pPr>
              <w:jc w:val="left"/>
            </w:pPr>
            <w:r>
              <w:rPr>
                <w:rFonts w:ascii="Calibri" w:eastAsia="SimHei"/>
                <w:b/>
                <w:bCs/>
                <w:color w:val="FFFFFF"/>
                <w:sz w:val="21"/>
                <w:szCs w:val="21"/>
              </w:rPr>
              <w:t xml:space="preserve">Table</w:t>
            </w:r>
          </w:p>
        </w:tc>
        <w:tc>
          <w:tcPr>
            <w:tcW w:type="pct" w:w="14%"/>
            <w:shd w:fill="15857A" w:val="clear"/>
            <w:tcMar>
              <w:top w:type="dxa" w:w="80"/>
              <w:left w:type="dxa" w:w="120"/>
              <w:bottom w:type="dxa" w:w="80"/>
              <w:right w:type="dxa" w:w="120"/>
            </w:tcMar>
          </w:tcPr>
          <w:p>
            <w:pPr>
              <w:jc w:val="left"/>
            </w:pPr>
            <w:r>
              <w:rPr>
                <w:rFonts w:ascii="Calibri" w:eastAsia="SimHei"/>
                <w:b/>
                <w:bCs/>
                <w:color w:val="FFFFFF"/>
                <w:sz w:val="21"/>
                <w:szCs w:val="21"/>
              </w:rPr>
              <w:t xml:space="preserve">Domain</w:t>
            </w:r>
          </w:p>
        </w:tc>
        <w:tc>
          <w:tcPr>
            <w:tcW w:type="pct" w:w="36%"/>
            <w:shd w:fill="15857A" w:val="clear"/>
            <w:tcMar>
              <w:top w:type="dxa" w:w="80"/>
              <w:left w:type="dxa" w:w="120"/>
              <w:bottom w:type="dxa" w:w="80"/>
              <w:right w:type="dxa" w:w="120"/>
            </w:tcMar>
          </w:tcPr>
          <w:p>
            <w:pPr>
              <w:jc w:val="left"/>
            </w:pPr>
            <w:r>
              <w:rPr>
                <w:rFonts w:ascii="Calibri" w:eastAsia="SimHei"/>
                <w:b/>
                <w:bCs/>
                <w:color w:val="FFFFFF"/>
                <w:sz w:val="21"/>
                <w:szCs w:val="21"/>
              </w:rPr>
              <w:t xml:space="preserve">Key Fields</w:t>
            </w:r>
          </w:p>
        </w:tc>
        <w:tc>
          <w:tcPr>
            <w:tcW w:type="pct" w:w="32%"/>
            <w:shd w:fill="15857A" w:val="clear"/>
            <w:tcMar>
              <w:top w:type="dxa" w:w="80"/>
              <w:left w:type="dxa" w:w="120"/>
              <w:bottom w:type="dxa" w:w="80"/>
              <w:right w:type="dxa" w:w="120"/>
            </w:tcMar>
          </w:tcPr>
          <w:p>
            <w:pPr>
              <w:jc w:val="left"/>
            </w:pPr>
            <w:r>
              <w:rPr>
                <w:rFonts w:ascii="Calibri" w:eastAsia="SimHei"/>
                <w:b/>
                <w:bCs/>
                <w:color w:val="FFFFFF"/>
                <w:sz w:val="21"/>
                <w:szCs w:val="21"/>
              </w:rPr>
              <w:t xml:space="preserve">Relationships</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students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Student</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id, name, dob, class_section_id, status</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Has many: attendance, fee_collections, marks, certificates</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parents</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Student</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id, father_name, father_phone, mother_name</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Belongs to: student</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teachers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Teacher</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id, name, cnic, qualification, monthly_salary</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Has many: assignments, attendance, salary_slips</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staff</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Staff</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id, name, cnic, department, designation, monthly_salary</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Has many: attendance, salary_slips</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classes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Class</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id, name, grade_level, default_monthly_fee</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Has many: sections</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sections</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Class</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id, class_id, name, capacity, class_teacher_id</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Belongs to: class; has many: students</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subjects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Class</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id, name, code</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Has many: class_subjects</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class_subjects</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Class</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class_id, subject_id, full_marks, pass_marks</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Junction: class + subject</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teacher_assignments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Teacher</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teacher_id, class_section_id, subject_id</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Junction: teacher + class-section + subject</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timetable_slots</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Timetable</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class_section_id, day, period, subject_id, teacher_id, room</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Belongs to: class_section</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attendance_students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Attendance</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student_id, date, status</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Belongs to: student</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attendance_staff</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Attendance</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employee_id, employee_type, date, status</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Belongs to: teacher or staff</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fee_structures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Fee</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class_id, fee_type, amount, frequency</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Belongs to: class</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fee_collections</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Fee</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id, student_id, receipt_no, date, amount, mode</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Belongs to: student</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salary_rules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Salary</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rule_type, amount, percentage, effective_date</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Standalone config</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salary_slips</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Salary</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id, employee_id, month, gross, deductions, net</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Belongs to: teacher or staff</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fines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Salary</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slip_id, fine_type, days, amount</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Belongs to: salary_slip</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exams</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Exam</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id, name, type, start_date, end_date, class_ids</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Has many: marks</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marks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Exam</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exam_id, student_id, subject_id, obtained, total</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Belongs to: exam + student + subject</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certificates</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Certificate</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id, type, student_id, issue_date, cert_no</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Belongs to: student</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users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User</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id, username, password_hash, role, status</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Standalone (links to teacher/staff)</w:t>
            </w:r>
          </w:p>
        </w:tc>
      </w:tr>
      <w:tr>
        <w:trPr>
          <w:cantSplit/>
        </w:trPr>
        <w:tc>
          <w:tcPr>
            <w:tcW w:type="pct" w:w="1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activity_log</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System</w:t>
            </w:r>
          </w:p>
        </w:tc>
        <w:tc>
          <w:tcPr>
            <w:tcW w:type="pct" w:w="36%"/>
            <w:shd w:fill="F0EDE5" w:val="clear"/>
            <w:tcMar>
              <w:top w:type="dxa" w:w="60"/>
              <w:left w:type="dxa" w:w="120"/>
              <w:bottom w:type="dxa" w:w="60"/>
              <w:right w:type="dxa" w:w="120"/>
            </w:tcMar>
          </w:tcPr>
          <w:p>
            <w:pPr>
              <w:jc w:val="left"/>
            </w:pPr>
            <w:r>
              <w:rPr>
                <w:rFonts w:ascii="Calibri" w:eastAsia="Microsoft YaHei"/>
                <w:color w:val="1A1A1A"/>
                <w:sz w:val="20"/>
                <w:szCs w:val="20"/>
              </w:rPr>
              <w:t xml:space="preserve">id, user_id, action, timestamp, details_json</w:t>
            </w:r>
          </w:p>
        </w:tc>
        <w:tc>
          <w:tcPr>
            <w:tcW w:type="pct" w:w="3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Belongs to: user</w:t>
            </w:r>
          </w:p>
        </w:tc>
      </w:tr>
      <w:tr>
        <w:trPr>
          <w:cantSplit/>
        </w:trPr>
        <w:tc>
          <w:tcPr>
            <w:tcW w:type="pct" w:w="18%"/>
            <w:tcMar>
              <w:top w:type="dxa" w:w="60"/>
              <w:left w:type="dxa" w:w="120"/>
              <w:bottom w:type="dxa" w:w="60"/>
              <w:right w:type="dxa" w:w="120"/>
            </w:tcMar>
          </w:tcPr>
          <w:p>
            <w:pPr>
              <w:jc w:val="left"/>
            </w:pPr>
            <w:r>
              <w:rPr>
                <w:rFonts w:ascii="Calibri" w:eastAsia="Microsoft YaHei"/>
                <w:color w:val="1A1A1A"/>
                <w:sz w:val="20"/>
                <w:szCs w:val="20"/>
              </w:rPr>
              <w:t xml:space="preserve">settings</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System</w:t>
            </w:r>
          </w:p>
        </w:tc>
        <w:tc>
          <w:tcPr>
            <w:tcW w:type="pct" w:w="36%"/>
            <w:tcMar>
              <w:top w:type="dxa" w:w="60"/>
              <w:left w:type="dxa" w:w="120"/>
              <w:bottom w:type="dxa" w:w="60"/>
              <w:right w:type="dxa" w:w="120"/>
            </w:tcMar>
          </w:tcPr>
          <w:p>
            <w:pPr>
              <w:jc w:val="left"/>
            </w:pPr>
            <w:r>
              <w:rPr>
                <w:rFonts w:ascii="Calibri" w:eastAsia="Microsoft YaHei"/>
                <w:color w:val="1A1A1A"/>
                <w:sz w:val="20"/>
                <w:szCs w:val="20"/>
              </w:rPr>
              <w:t xml:space="preserve">key, value, updated_at, updated_by</w:t>
            </w:r>
          </w:p>
        </w:tc>
        <w:tc>
          <w:tcPr>
            <w:tcW w:type="pct" w:w="32%"/>
            <w:tcMar>
              <w:top w:type="dxa" w:w="60"/>
              <w:left w:type="dxa" w:w="120"/>
              <w:bottom w:type="dxa" w:w="60"/>
              <w:right w:type="dxa" w:w="120"/>
            </w:tcMar>
          </w:tcPr>
          <w:p>
            <w:pPr>
              <w:jc w:val="left"/>
            </w:pPr>
            <w:r>
              <w:rPr>
                <w:rFonts w:ascii="Calibri" w:eastAsia="Microsoft YaHei"/>
                <w:color w:val="1A1A1A"/>
                <w:sz w:val="20"/>
                <w:szCs w:val="20"/>
              </w:rPr>
              <w:t xml:space="preserve">Standalone key-value</w:t>
            </w:r>
          </w:p>
        </w:tc>
      </w:tr>
    </w:tbl>
    <w:p>
      <w:pPr>
        <w:spacing w:after="80" w:line="312"/>
        <w:ind w:firstLine="360"/>
        <w:jc w:val="both"/>
      </w:pPr>
      <w:r>
        <w:rPr>
          <w:rFonts w:ascii="Calibri" w:eastAsia="Microsoft YaHei"/>
          <w:color w:val="1A1A1A"/>
          <w:sz w:val="22"/>
          <w:szCs w:val="22"/>
        </w:rPr>
        <w:t xml:space="preserve">The schema is designed for clarity and query performance rather than normalization purity. A few denormalizations are intentional — for example, the student record stores the current class_section_id directly rather than requiring a join through an enrollments table — because the resulting query simplification significantly improves read performance and code maintainability for the common case (a student is in one class-section for the duration of a session).</w:t>
      </w:r>
    </w:p>
    <w:p>
      <w:pPr>
        <w:pStyle w:val="Heading1"/>
        <w:spacing w:after="160" w:before="360" w:line="312"/>
      </w:pPr>
      <w:bookmarkStart w:id="100126" w:name="_Toc100126"/>
      <w:r>
        <w:rPr>
          <w:rFonts w:ascii="Calibri" w:eastAsia="SimHei"/>
          <w:b/>
          <w:bCs/>
          <w:color w:val="15857A"/>
          <w:sz w:val="32"/>
          <w:szCs w:val="32"/>
        </w:rPr>
        <w:t xml:space="preserve">25. Implementation Roadmap</w:t>
      </w:r>
      <w:bookmarkEnd w:id="100126"/>
    </w:p>
    <w:p>
      <w:pPr>
        <w:spacing w:after="80" w:line="312"/>
        <w:ind w:firstLine="360"/>
        <w:jc w:val="both"/>
      </w:pPr>
      <w:r>
        <w:rPr>
          <w:rFonts w:ascii="Calibri" w:eastAsia="Microsoft YaHei"/>
          <w:color w:val="1A1A1A"/>
          <w:sz w:val="22"/>
          <w:szCs w:val="22"/>
        </w:rPr>
        <w:t xml:space="preserve">The implementation is organized into five phases over approximately twenty-two weeks. Each phase has a clear deliverable and a demo milestone where the work-in-progress is reviewed with stakeholders. The phases are sequenced to deliver value early — the foundational CRUD modules come first, followed by the operational modules that depend on them, then the financial modules that depend on attendance, and finally the analytics and polish phase.</w:t>
      </w:r>
    </w:p>
    <w:p>
      <w:pPr>
        <w:keepNext/>
        <w:spacing w:after="80" w:before="160"/>
      </w:pPr>
      <w:r>
        <w:rPr>
          <w:rFonts w:ascii="Calibri" w:eastAsia="SimHei"/>
          <w:b/>
          <w:bCs/>
          <w:color w:val="15857A"/>
          <w:sz w:val="21"/>
          <w:szCs w:val="21"/>
        </w:rPr>
        <w:t xml:space="preserve">Table 10: Implementation Phases</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gridCol w:w="100"/>
      </w:tblGrid>
      <w:tr>
        <w:trPr>
          <w:cantSplit/>
          <w:tblHeader/>
        </w:trPr>
        <w:tc>
          <w:tcPr>
            <w:tcW w:type="pct" w:w="22%"/>
            <w:shd w:fill="15857A" w:val="clear"/>
            <w:tcMar>
              <w:top w:type="dxa" w:w="80"/>
              <w:left w:type="dxa" w:w="120"/>
              <w:bottom w:type="dxa" w:w="80"/>
              <w:right w:type="dxa" w:w="120"/>
            </w:tcMar>
          </w:tcPr>
          <w:p>
            <w:pPr>
              <w:jc w:val="left"/>
            </w:pPr>
            <w:r>
              <w:rPr>
                <w:rFonts w:ascii="Calibri" w:eastAsia="SimHei"/>
                <w:b/>
                <w:bCs/>
                <w:color w:val="FFFFFF"/>
                <w:sz w:val="21"/>
                <w:szCs w:val="21"/>
              </w:rPr>
              <w:t xml:space="preserve">Phase</w:t>
            </w:r>
          </w:p>
        </w:tc>
        <w:tc>
          <w:tcPr>
            <w:tcW w:type="pct" w:w="12%"/>
            <w:shd w:fill="15857A" w:val="clear"/>
            <w:tcMar>
              <w:top w:type="dxa" w:w="80"/>
              <w:left w:type="dxa" w:w="120"/>
              <w:bottom w:type="dxa" w:w="80"/>
              <w:right w:type="dxa" w:w="120"/>
            </w:tcMar>
          </w:tcPr>
          <w:p>
            <w:pPr>
              <w:jc w:val="left"/>
            </w:pPr>
            <w:r>
              <w:rPr>
                <w:rFonts w:ascii="Calibri" w:eastAsia="SimHei"/>
                <w:b/>
                <w:bCs/>
                <w:color w:val="FFFFFF"/>
                <w:sz w:val="21"/>
                <w:szCs w:val="21"/>
              </w:rPr>
              <w:t xml:space="preserve">Duration</w:t>
            </w:r>
          </w:p>
        </w:tc>
        <w:tc>
          <w:tcPr>
            <w:tcW w:type="pct" w:w="38%"/>
            <w:shd w:fill="15857A" w:val="clear"/>
            <w:tcMar>
              <w:top w:type="dxa" w:w="80"/>
              <w:left w:type="dxa" w:w="120"/>
              <w:bottom w:type="dxa" w:w="80"/>
              <w:right w:type="dxa" w:w="120"/>
            </w:tcMar>
          </w:tcPr>
          <w:p>
            <w:pPr>
              <w:jc w:val="left"/>
            </w:pPr>
            <w:r>
              <w:rPr>
                <w:rFonts w:ascii="Calibri" w:eastAsia="SimHei"/>
                <w:b/>
                <w:bCs/>
                <w:color w:val="FFFFFF"/>
                <w:sz w:val="21"/>
                <w:szCs w:val="21"/>
              </w:rPr>
              <w:t xml:space="preserve">Modules</w:t>
            </w:r>
          </w:p>
        </w:tc>
        <w:tc>
          <w:tcPr>
            <w:tcW w:type="pct" w:w="28%"/>
            <w:shd w:fill="15857A" w:val="clear"/>
            <w:tcMar>
              <w:top w:type="dxa" w:w="80"/>
              <w:left w:type="dxa" w:w="120"/>
              <w:bottom w:type="dxa" w:w="80"/>
              <w:right w:type="dxa" w:w="120"/>
            </w:tcMar>
          </w:tcPr>
          <w:p>
            <w:pPr>
              <w:jc w:val="left"/>
            </w:pPr>
            <w:r>
              <w:rPr>
                <w:rFonts w:ascii="Calibri" w:eastAsia="SimHei"/>
                <w:b/>
                <w:bCs/>
                <w:color w:val="FFFFFF"/>
                <w:sz w:val="21"/>
                <w:szCs w:val="21"/>
              </w:rPr>
              <w:t xml:space="preserve">Milestone</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Phase 1: Foundation</w:t>
            </w:r>
          </w:p>
        </w:tc>
        <w:tc>
          <w:tcPr>
            <w:tcW w:type="pct" w:w="12%"/>
            <w:tcMar>
              <w:top w:type="dxa" w:w="60"/>
              <w:left w:type="dxa" w:w="120"/>
              <w:bottom w:type="dxa" w:w="60"/>
              <w:right w:type="dxa" w:w="120"/>
            </w:tcMar>
          </w:tcPr>
          <w:p>
            <w:pPr>
              <w:jc w:val="left"/>
            </w:pPr>
            <w:r>
              <w:rPr>
                <w:rFonts w:ascii="Calibri" w:eastAsia="Microsoft YaHei"/>
                <w:color w:val="1A1A1A"/>
                <w:sz w:val="20"/>
                <w:szCs w:val="20"/>
              </w:rPr>
              <w:t xml:space="preserve">4 weeks</w:t>
            </w:r>
          </w:p>
        </w:tc>
        <w:tc>
          <w:tcPr>
            <w:tcW w:type="pct" w:w="38%"/>
            <w:tcMar>
              <w:top w:type="dxa" w:w="60"/>
              <w:left w:type="dxa" w:w="120"/>
              <w:bottom w:type="dxa" w:w="60"/>
              <w:right w:type="dxa" w:w="120"/>
            </w:tcMar>
          </w:tcPr>
          <w:p>
            <w:pPr>
              <w:jc w:val="left"/>
            </w:pPr>
            <w:r>
              <w:rPr>
                <w:rFonts w:ascii="Calibri" w:eastAsia="Microsoft YaHei"/>
                <w:color w:val="1A1A1A"/>
                <w:sz w:val="20"/>
                <w:szCs w:val="20"/>
              </w:rPr>
              <w:t xml:space="preserve">Project setup, DB schema, auth, Settings, User Management</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Working login + school setup</w:t>
            </w:r>
          </w:p>
        </w:tc>
      </w:tr>
      <w:tr>
        <w:trPr>
          <w:cantSplit/>
        </w:trPr>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Phase 2: Core CRUD</w:t>
            </w:r>
          </w:p>
        </w:tc>
        <w:tc>
          <w:tcPr>
            <w:tcW w:type="pct" w:w="1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6 weeks</w:t>
            </w:r>
          </w:p>
        </w:tc>
        <w:tc>
          <w:tcPr>
            <w:tcW w:type="pct" w:w="3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Students, Teachers, Staff, Classes, Sections, Subjects</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Full student admission flow</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Phase 3: Operations</w:t>
            </w:r>
          </w:p>
        </w:tc>
        <w:tc>
          <w:tcPr>
            <w:tcW w:type="pct" w:w="12%"/>
            <w:tcMar>
              <w:top w:type="dxa" w:w="60"/>
              <w:left w:type="dxa" w:w="120"/>
              <w:bottom w:type="dxa" w:w="60"/>
              <w:right w:type="dxa" w:w="120"/>
            </w:tcMar>
          </w:tcPr>
          <w:p>
            <w:pPr>
              <w:jc w:val="left"/>
            </w:pPr>
            <w:r>
              <w:rPr>
                <w:rFonts w:ascii="Calibri" w:eastAsia="Microsoft YaHei"/>
                <w:color w:val="1A1A1A"/>
                <w:sz w:val="20"/>
                <w:szCs w:val="20"/>
              </w:rPr>
              <w:t xml:space="preserve">5 weeks</w:t>
            </w:r>
          </w:p>
        </w:tc>
        <w:tc>
          <w:tcPr>
            <w:tcW w:type="pct" w:w="38%"/>
            <w:tcMar>
              <w:top w:type="dxa" w:w="60"/>
              <w:left w:type="dxa" w:w="120"/>
              <w:bottom w:type="dxa" w:w="60"/>
              <w:right w:type="dxa" w:w="120"/>
            </w:tcMar>
          </w:tcPr>
          <w:p>
            <w:pPr>
              <w:jc w:val="left"/>
            </w:pPr>
            <w:r>
              <w:rPr>
                <w:rFonts w:ascii="Calibri" w:eastAsia="Microsoft YaHei"/>
                <w:color w:val="1A1A1A"/>
                <w:sz w:val="20"/>
                <w:szCs w:val="20"/>
              </w:rPr>
              <w:t xml:space="preserve">Attendance, Fee Management, Fee Defaulter, Timetable</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Daily operations usable</w:t>
            </w:r>
          </w:p>
        </w:tc>
      </w:tr>
      <w:tr>
        <w:trPr>
          <w:cantSplit/>
        </w:trPr>
        <w:tc>
          <w:tcPr>
            <w:tcW w:type="pct" w:w="2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Phase 4: Finance &amp; Academics</w:t>
            </w:r>
          </w:p>
        </w:tc>
        <w:tc>
          <w:tcPr>
            <w:tcW w:type="pct" w:w="1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4 weeks</w:t>
            </w:r>
          </w:p>
        </w:tc>
        <w:tc>
          <w:tcPr>
            <w:tcW w:type="pct" w:w="3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Salary &amp; Fine, Exams &amp; Results, Certificates</w:t>
            </w:r>
          </w:p>
        </w:tc>
        <w:tc>
          <w:tcPr>
            <w:tcW w:type="pct" w:w="28%"/>
            <w:shd w:fill="F0EDE5" w:val="clear"/>
            <w:tcMar>
              <w:top w:type="dxa" w:w="60"/>
              <w:left w:type="dxa" w:w="120"/>
              <w:bottom w:type="dxa" w:w="60"/>
              <w:right w:type="dxa" w:w="120"/>
            </w:tcMar>
          </w:tcPr>
          <w:p>
            <w:pPr>
              <w:jc w:val="left"/>
            </w:pPr>
            <w:r>
              <w:rPr>
                <w:rFonts w:ascii="Calibri" w:eastAsia="Microsoft YaHei"/>
                <w:color w:val="1A1A1A"/>
                <w:sz w:val="20"/>
                <w:szCs w:val="20"/>
              </w:rPr>
              <w:t xml:space="preserve">Month-end payroll + result cards</w:t>
            </w:r>
          </w:p>
        </w:tc>
      </w:tr>
      <w:tr>
        <w:trPr>
          <w:cantSplit/>
        </w:trPr>
        <w:tc>
          <w:tcPr>
            <w:tcW w:type="pct" w:w="22%"/>
            <w:tcMar>
              <w:top w:type="dxa" w:w="60"/>
              <w:left w:type="dxa" w:w="120"/>
              <w:bottom w:type="dxa" w:w="60"/>
              <w:right w:type="dxa" w:w="120"/>
            </w:tcMar>
          </w:tcPr>
          <w:p>
            <w:pPr>
              <w:jc w:val="left"/>
            </w:pPr>
            <w:r>
              <w:rPr>
                <w:rFonts w:ascii="Calibri" w:eastAsia="Microsoft YaHei"/>
                <w:color w:val="1A1A1A"/>
                <w:sz w:val="20"/>
                <w:szCs w:val="20"/>
              </w:rPr>
              <w:t xml:space="preserve">Phase 5: Polish &amp; Release</w:t>
            </w:r>
          </w:p>
        </w:tc>
        <w:tc>
          <w:tcPr>
            <w:tcW w:type="pct" w:w="12%"/>
            <w:tcMar>
              <w:top w:type="dxa" w:w="60"/>
              <w:left w:type="dxa" w:w="120"/>
              <w:bottom w:type="dxa" w:w="60"/>
              <w:right w:type="dxa" w:w="120"/>
            </w:tcMar>
          </w:tcPr>
          <w:p>
            <w:pPr>
              <w:jc w:val="left"/>
            </w:pPr>
            <w:r>
              <w:rPr>
                <w:rFonts w:ascii="Calibri" w:eastAsia="Microsoft YaHei"/>
                <w:color w:val="1A1A1A"/>
                <w:sz w:val="20"/>
                <w:szCs w:val="20"/>
              </w:rPr>
              <w:t xml:space="preserve">3 weeks</w:t>
            </w:r>
          </w:p>
        </w:tc>
        <w:tc>
          <w:tcPr>
            <w:tcW w:type="pct" w:w="38%"/>
            <w:tcMar>
              <w:top w:type="dxa" w:w="60"/>
              <w:left w:type="dxa" w:w="120"/>
              <w:bottom w:type="dxa" w:w="60"/>
              <w:right w:type="dxa" w:w="120"/>
            </w:tcMar>
          </w:tcPr>
          <w:p>
            <w:pPr>
              <w:jc w:val="left"/>
            </w:pPr>
            <w:r>
              <w:rPr>
                <w:rFonts w:ascii="Calibri" w:eastAsia="Microsoft YaHei"/>
                <w:color w:val="1A1A1A"/>
                <w:sz w:val="20"/>
                <w:szCs w:val="20"/>
              </w:rPr>
              <w:t xml:space="preserve">Reports, Analytics, Dashboard, packaging, demo data</w:t>
            </w:r>
          </w:p>
        </w:tc>
        <w:tc>
          <w:tcPr>
            <w:tcW w:type="pct" w:w="28%"/>
            <w:tcMar>
              <w:top w:type="dxa" w:w="60"/>
              <w:left w:type="dxa" w:w="120"/>
              <w:bottom w:type="dxa" w:w="60"/>
              <w:right w:type="dxa" w:w="120"/>
            </w:tcMar>
          </w:tcPr>
          <w:p>
            <w:pPr>
              <w:jc w:val="left"/>
            </w:pPr>
            <w:r>
              <w:rPr>
                <w:rFonts w:ascii="Calibri" w:eastAsia="Microsoft YaHei"/>
                <w:color w:val="1A1A1A"/>
                <w:sz w:val="20"/>
                <w:szCs w:val="20"/>
              </w:rPr>
              <w:t xml:space="preserve">v1.0 release candidate</w:t>
            </w:r>
          </w:p>
        </w:tc>
      </w:tr>
    </w:tbl>
    <w:p>
      <w:pPr>
        <w:pStyle w:val="Heading2"/>
        <w:spacing w:after="120" w:before="280" w:line="312"/>
      </w:pPr>
      <w:bookmarkStart w:id="100127" w:name="_Toc100127"/>
      <w:r>
        <w:rPr>
          <w:rFonts w:ascii="Calibri" w:eastAsia="SimHei"/>
          <w:b/>
          <w:bCs/>
          <w:color w:val="15857A"/>
          <w:sz w:val="28"/>
          <w:szCs w:val="28"/>
        </w:rPr>
        <w:t xml:space="preserve">25.1 Phase 1: Foundation (Weeks 1–4)</w:t>
      </w:r>
      <w:bookmarkEnd w:id="100127"/>
    </w:p>
    <w:p>
      <w:pPr>
        <w:spacing w:after="80" w:line="312"/>
        <w:ind w:firstLine="360"/>
        <w:jc w:val="both"/>
      </w:pPr>
      <w:r>
        <w:rPr>
          <w:rFonts w:ascii="Calibri" w:eastAsia="Microsoft YaHei"/>
          <w:color w:val="1A1A1A"/>
          <w:sz w:val="22"/>
          <w:szCs w:val="22"/>
        </w:rPr>
        <w:t xml:space="preserve">Phase 1 establishes the project skeleton, the database schema, the authentication system, and the school setup wizard. By the end of Phase 1, a user can install the application, create an Admin account, configure the school's basic information, and log in to an empty dashboard. The database migrations for all twenty-one tables are written and tested. The Tauri command bridge is set up with the first command (get_school_info). The CI pipeline is configured with TypeScript checks, Rust clippy, and unit tests for the first command. Deliverable: installable v0.1 binary with login and school setup.</w:t>
      </w:r>
    </w:p>
    <w:p>
      <w:pPr>
        <w:pStyle w:val="Heading2"/>
        <w:spacing w:after="120" w:before="280" w:line="312"/>
      </w:pPr>
      <w:bookmarkStart w:id="100128" w:name="_Toc100128"/>
      <w:r>
        <w:rPr>
          <w:rFonts w:ascii="Calibri" w:eastAsia="SimHei"/>
          <w:b/>
          <w:bCs/>
          <w:color w:val="15857A"/>
          <w:sz w:val="28"/>
          <w:szCs w:val="28"/>
        </w:rPr>
        <w:t xml:space="preserve">25.2 Phase 2: Core CRUD (Weeks 5–10)</w:t>
      </w:r>
      <w:bookmarkEnd w:id="100128"/>
    </w:p>
    <w:p>
      <w:pPr>
        <w:spacing w:after="80" w:line="312"/>
        <w:ind w:firstLine="360"/>
        <w:jc w:val="both"/>
      </w:pPr>
      <w:r>
        <w:rPr>
          <w:rFonts w:ascii="Calibri" w:eastAsia="Microsoft YaHei"/>
          <w:color w:val="1A1A1A"/>
          <w:sz w:val="22"/>
          <w:szCs w:val="22"/>
        </w:rPr>
        <w:t xml:space="preserve">Phase 2 builds the four core CRUD modules: Students, Teachers, Staff, and Classes/Sections/Subjects. This is the longest phase because these modules establish the patterns (form layout, list view, profile view, search/filter, validation) that all subsequent modules reuse. By the end of Phase 2, the school can fully populate its student, teacher, staff, and class records. Deliverable: installable v0.2 binary with full master data management.</w:t>
      </w:r>
    </w:p>
    <w:p>
      <w:pPr>
        <w:pStyle w:val="Heading2"/>
        <w:spacing w:after="120" w:before="280" w:line="312"/>
      </w:pPr>
      <w:bookmarkStart w:id="100129" w:name="_Toc100129"/>
      <w:r>
        <w:rPr>
          <w:rFonts w:ascii="Calibri" w:eastAsia="SimHei"/>
          <w:b/>
          <w:bCs/>
          <w:color w:val="15857A"/>
          <w:sz w:val="28"/>
          <w:szCs w:val="28"/>
        </w:rPr>
        <w:t xml:space="preserve">25.3 Phase 3: Operations (Weeks 11–15)</w:t>
      </w:r>
      <w:bookmarkEnd w:id="100129"/>
    </w:p>
    <w:p>
      <w:pPr>
        <w:spacing w:after="80" w:line="312"/>
        <w:ind w:firstLine="360"/>
        <w:jc w:val="both"/>
      </w:pPr>
      <w:r>
        <w:rPr>
          <w:rFonts w:ascii="Calibri" w:eastAsia="Microsoft YaHei"/>
          <w:color w:val="1A1A1A"/>
          <w:sz w:val="22"/>
          <w:szCs w:val="22"/>
        </w:rPr>
        <w:t xml:space="preserve">Phase 3 builds the three modules that the school uses daily: Attendance, Fee Management (with Defaulter), and Timetable. These modules depend on the master data from Phase 2 and are the first to deliver measurable operational value. By the end of Phase 3, the school can run its daily operations in the application — mark attendance, collect fees with printable receipts, generate defaulter lists, and create class timetables. Deliverable: installable v0.3 binary usable for daily operations in a pilot school.</w:t>
      </w:r>
    </w:p>
    <w:p>
      <w:pPr>
        <w:pStyle w:val="Heading2"/>
        <w:spacing w:after="120" w:before="280" w:line="312"/>
      </w:pPr>
      <w:bookmarkStart w:id="100130" w:name="_Toc100130"/>
      <w:r>
        <w:rPr>
          <w:rFonts w:ascii="Calibri" w:eastAsia="SimHei"/>
          <w:b/>
          <w:bCs/>
          <w:color w:val="15857A"/>
          <w:sz w:val="28"/>
          <w:szCs w:val="28"/>
        </w:rPr>
        <w:t xml:space="preserve">25.4 Phase 4: Finance &amp; Academics (Weeks 16–19)</w:t>
      </w:r>
      <w:bookmarkEnd w:id="100130"/>
    </w:p>
    <w:p>
      <w:pPr>
        <w:spacing w:after="80" w:line="312"/>
        <w:ind w:firstLine="360"/>
        <w:jc w:val="both"/>
      </w:pPr>
      <w:r>
        <w:rPr>
          <w:rFonts w:ascii="Calibri" w:eastAsia="Microsoft YaHei"/>
          <w:color w:val="1A1A1A"/>
          <w:sz w:val="22"/>
          <w:szCs w:val="22"/>
        </w:rPr>
        <w:t xml:space="preserve">Phase 4 builds the four modules that operate on a monthly or term cycle: Salary &amp; Fine, Exams &amp; Results, and Certificates. These modules have the most complex business logic (especially the salary fine calculation) and the most demanding print output requirements (result cards, salary slips, certificates). By the end of Phase 4, the school can process month-end payroll, generate result cards after exams, and issue all four certificate types. Deliverable: installable v0.4 binary with full operational feature set.</w:t>
      </w:r>
    </w:p>
    <w:p>
      <w:pPr>
        <w:pStyle w:val="Heading2"/>
        <w:spacing w:after="120" w:before="280" w:line="312"/>
      </w:pPr>
      <w:bookmarkStart w:id="100131" w:name="_Toc100131"/>
      <w:r>
        <w:rPr>
          <w:rFonts w:ascii="Calibri" w:eastAsia="SimHei"/>
          <w:b/>
          <w:bCs/>
          <w:color w:val="15857A"/>
          <w:sz w:val="28"/>
          <w:szCs w:val="28"/>
        </w:rPr>
        <w:t xml:space="preserve">25.5 Phase 5: Polish &amp; Release (Weeks 20–22)</w:t>
      </w:r>
      <w:bookmarkEnd w:id="100131"/>
    </w:p>
    <w:p>
      <w:pPr>
        <w:spacing w:after="80" w:line="312"/>
        <w:ind w:firstLine="360"/>
        <w:jc w:val="both"/>
      </w:pPr>
      <w:r>
        <w:rPr>
          <w:rFonts w:ascii="Calibri" w:eastAsia="Microsoft YaHei"/>
          <w:color w:val="1A1A1A"/>
          <w:sz w:val="22"/>
          <w:szCs w:val="22"/>
        </w:rPr>
        <w:t xml:space="preserve">Phase 5 builds the dashboard, the analytics module, the reports module, and completes the cross-cutting extras (global search, dark theme, demo data, packaging). The phase ends with a release candidate tested at two pilot schools for two weeks, followed by the v1.0 release. Deliverable: signed v1.0 installers for Windows, macOS, and Linux, with documentation and demo data.</w:t>
      </w:r>
    </w:p>
    <w:p>
      <w:pPr>
        <w:pStyle w:val="Heading1"/>
        <w:spacing w:after="160" w:before="360" w:line="312"/>
      </w:pPr>
      <w:bookmarkStart w:id="100132" w:name="_Toc100132"/>
      <w:r>
        <w:rPr>
          <w:rFonts w:ascii="Calibri" w:eastAsia="SimHei"/>
          <w:b/>
          <w:bCs/>
          <w:color w:val="15857A"/>
          <w:sz w:val="32"/>
          <w:szCs w:val="32"/>
        </w:rPr>
        <w:t xml:space="preserve">26. Risk &amp; Mitigation</w:t>
      </w:r>
      <w:bookmarkEnd w:id="100132"/>
    </w:p>
    <w:p>
      <w:pPr>
        <w:spacing w:after="80" w:line="312"/>
        <w:ind w:firstLine="360"/>
        <w:jc w:val="both"/>
      </w:pPr>
      <w:r>
        <w:rPr>
          <w:rFonts w:ascii="Calibri" w:eastAsia="Microsoft YaHei"/>
          <w:color w:val="1A1A1A"/>
          <w:sz w:val="22"/>
          <w:szCs w:val="22"/>
        </w:rPr>
        <w:t xml:space="preserve">The following five risks have been identified as the most significant threats to the v1.0 release. Each risk is assessed for likelihood and impact, and a concrete mitigation strategy is defined. The risks are reviewed at each phase demo and updated as the project progresses.</w:t>
      </w:r>
    </w:p>
    <w:p>
      <w:pPr>
        <w:keepNext/>
        <w:spacing w:after="80" w:before="160"/>
      </w:pPr>
      <w:r>
        <w:rPr>
          <w:rFonts w:ascii="Calibri" w:eastAsia="SimHei"/>
          <w:b/>
          <w:bCs/>
          <w:color w:val="15857A"/>
          <w:sz w:val="21"/>
          <w:szCs w:val="21"/>
        </w:rPr>
        <w:t xml:space="preserve">Table 11: Risk Register</w:t>
      </w:r>
    </w:p>
    <w:tbl>
      <w:tblPr>
        <w:tblW w:type="pct" w:w="100%"/>
        <w:tblBorders>
          <w:top w:val="single" w:color="15857A" w:sz="4"/>
          <w:left w:val="none"/>
          <w:bottom w:val="single" w:color="15857A" w:sz="4"/>
          <w:right w:val="none"/>
          <w:insideH w:val="single" w:color="D5D0C8" w:sz="1"/>
          <w:insideV w:val="none"/>
        </w:tblBorders>
        <w:tblLayout w:type="fixed"/>
      </w:tblPr>
      <w:tblGrid>
        <w:gridCol w:w="100"/>
        <w:gridCol w:w="100"/>
        <w:gridCol w:w="100"/>
        <w:gridCol w:w="100"/>
      </w:tblGrid>
      <w:tr>
        <w:trPr>
          <w:cantSplit/>
          <w:tblHeader/>
        </w:trPr>
        <w:tc>
          <w:tcPr>
            <w:tcW w:type="pct" w:w="30%"/>
            <w:shd w:fill="15857A" w:val="clear"/>
            <w:tcMar>
              <w:top w:type="dxa" w:w="80"/>
              <w:left w:type="dxa" w:w="120"/>
              <w:bottom w:type="dxa" w:w="80"/>
              <w:right w:type="dxa" w:w="120"/>
            </w:tcMar>
          </w:tcPr>
          <w:p>
            <w:pPr>
              <w:jc w:val="left"/>
            </w:pPr>
            <w:r>
              <w:rPr>
                <w:rFonts w:ascii="Calibri" w:eastAsia="SimHei"/>
                <w:b/>
                <w:bCs/>
                <w:color w:val="FFFFFF"/>
                <w:sz w:val="21"/>
                <w:szCs w:val="21"/>
              </w:rPr>
              <w:t xml:space="preserve">Risk</w:t>
            </w:r>
          </w:p>
        </w:tc>
        <w:tc>
          <w:tcPr>
            <w:tcW w:type="pct" w:w="14%"/>
            <w:shd w:fill="15857A" w:val="clear"/>
            <w:tcMar>
              <w:top w:type="dxa" w:w="80"/>
              <w:left w:type="dxa" w:w="120"/>
              <w:bottom w:type="dxa" w:w="80"/>
              <w:right w:type="dxa" w:w="120"/>
            </w:tcMar>
          </w:tcPr>
          <w:p>
            <w:pPr>
              <w:jc w:val="left"/>
            </w:pPr>
            <w:r>
              <w:rPr>
                <w:rFonts w:ascii="Calibri" w:eastAsia="SimHei"/>
                <w:b/>
                <w:bCs/>
                <w:color w:val="FFFFFF"/>
                <w:sz w:val="21"/>
                <w:szCs w:val="21"/>
              </w:rPr>
              <w:t xml:space="preserve">Likelihood</w:t>
            </w:r>
          </w:p>
        </w:tc>
        <w:tc>
          <w:tcPr>
            <w:tcW w:type="pct" w:w="14%"/>
            <w:shd w:fill="15857A" w:val="clear"/>
            <w:tcMar>
              <w:top w:type="dxa" w:w="80"/>
              <w:left w:type="dxa" w:w="120"/>
              <w:bottom w:type="dxa" w:w="80"/>
              <w:right w:type="dxa" w:w="120"/>
            </w:tcMar>
          </w:tcPr>
          <w:p>
            <w:pPr>
              <w:jc w:val="left"/>
            </w:pPr>
            <w:r>
              <w:rPr>
                <w:rFonts w:ascii="Calibri" w:eastAsia="SimHei"/>
                <w:b/>
                <w:bCs/>
                <w:color w:val="FFFFFF"/>
                <w:sz w:val="21"/>
                <w:szCs w:val="21"/>
              </w:rPr>
              <w:t xml:space="preserve">Impact</w:t>
            </w:r>
          </w:p>
        </w:tc>
        <w:tc>
          <w:tcPr>
            <w:tcW w:type="pct" w:w="42%"/>
            <w:shd w:fill="15857A" w:val="clear"/>
            <w:tcMar>
              <w:top w:type="dxa" w:w="80"/>
              <w:left w:type="dxa" w:w="120"/>
              <w:bottom w:type="dxa" w:w="80"/>
              <w:right w:type="dxa" w:w="120"/>
            </w:tcMar>
          </w:tcPr>
          <w:p>
            <w:pPr>
              <w:jc w:val="left"/>
            </w:pPr>
            <w:r>
              <w:rPr>
                <w:rFonts w:ascii="Calibri" w:eastAsia="SimHei"/>
                <w:b/>
                <w:bCs/>
                <w:color w:val="FFFFFF"/>
                <w:sz w:val="21"/>
                <w:szCs w:val="21"/>
              </w:rPr>
              <w:t xml:space="preserve">Mitigation</w:t>
            </w:r>
          </w:p>
        </w:tc>
      </w:tr>
      <w:tr>
        <w:trPr>
          <w:cantSplit/>
        </w:trPr>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Database corruption from power failure or improper shutdown</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Medium</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High</w:t>
            </w:r>
          </w:p>
        </w:tc>
        <w:tc>
          <w:tcPr>
            <w:tcW w:type="pct" w:w="42%"/>
            <w:tcMar>
              <w:top w:type="dxa" w:w="60"/>
              <w:left w:type="dxa" w:w="120"/>
              <w:bottom w:type="dxa" w:w="60"/>
              <w:right w:type="dxa" w:w="120"/>
            </w:tcMar>
          </w:tcPr>
          <w:p>
            <w:pPr>
              <w:jc w:val="left"/>
            </w:pPr>
            <w:r>
              <w:rPr>
                <w:rFonts w:ascii="Calibri" w:eastAsia="Microsoft YaHei"/>
                <w:color w:val="1A1A1A"/>
                <w:sz w:val="20"/>
                <w:szCs w:val="20"/>
              </w:rPr>
              <w:t xml:space="preserve">SQLite WAL mode + automatic daily backup; restore workflow tested in Phase 1</w:t>
            </w:r>
          </w:p>
        </w:tc>
      </w:tr>
      <w:tr>
        <w:trPr>
          <w:cantSplit/>
        </w:trPr>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Staff training gap blocking adoption</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Medium</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Medium</w:t>
            </w:r>
          </w:p>
        </w:tc>
        <w:tc>
          <w:tcPr>
            <w:tcW w:type="pct" w:w="4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Demo data preloaded; in-app help tooltips; printable quick-start guide; two pilot schools before release</w:t>
            </w:r>
          </w:p>
        </w:tc>
      </w:tr>
      <w:tr>
        <w:trPr>
          <w:cantSplit/>
        </w:trPr>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Printer compatibility (thermal + laser + A4)</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High</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Low</w:t>
            </w:r>
          </w:p>
        </w:tc>
        <w:tc>
          <w:tcPr>
            <w:tcW w:type="pct" w:w="42%"/>
            <w:tcMar>
              <w:top w:type="dxa" w:w="60"/>
              <w:left w:type="dxa" w:w="120"/>
              <w:bottom w:type="dxa" w:w="60"/>
              <w:right w:type="dxa" w:w="120"/>
            </w:tcMar>
          </w:tcPr>
          <w:p>
            <w:pPr>
              <w:jc w:val="left"/>
            </w:pPr>
            <w:r>
              <w:rPr>
                <w:rFonts w:ascii="Calibri" w:eastAsia="Microsoft YaHei"/>
                <w:color w:val="1A1A1A"/>
                <w:sz w:val="20"/>
                <w:szCs w:val="20"/>
              </w:rPr>
              <w:t xml:space="preserve">Use standard PDF rendering; test with three printer models in Phase 5; provide thermal 80mm and A5 paper size options</w:t>
            </w:r>
          </w:p>
        </w:tc>
      </w:tr>
      <w:tr>
        <w:trPr>
          <w:cantSplit/>
        </w:trPr>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Tauri v2 API changes during development</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Low</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Medium</w:t>
            </w:r>
          </w:p>
        </w:tc>
        <w:tc>
          <w:tcPr>
            <w:tcW w:type="pct" w:w="4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Pin to Tauri v2.0.x stable; subscribe to Tauri changelog; CI runs against the pinned version</w:t>
            </w:r>
          </w:p>
        </w:tc>
      </w:tr>
      <w:tr>
        <w:trPr>
          <w:cantSplit/>
        </w:trPr>
        <w:tc>
          <w:tcPr>
            <w:tcW w:type="pct" w:w="30%"/>
            <w:tcMar>
              <w:top w:type="dxa" w:w="60"/>
              <w:left w:type="dxa" w:w="120"/>
              <w:bottom w:type="dxa" w:w="60"/>
              <w:right w:type="dxa" w:w="120"/>
            </w:tcMar>
          </w:tcPr>
          <w:p>
            <w:pPr>
              <w:jc w:val="left"/>
            </w:pPr>
            <w:r>
              <w:rPr>
                <w:rFonts w:ascii="Calibri" w:eastAsia="Microsoft YaHei"/>
                <w:color w:val="1A1A1A"/>
                <w:sz w:val="20"/>
                <w:szCs w:val="20"/>
              </w:rPr>
              <w:t xml:space="preserve">Feature creep beyond v1.0 scope</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High</w:t>
            </w:r>
          </w:p>
        </w:tc>
        <w:tc>
          <w:tcPr>
            <w:tcW w:type="pct" w:w="14%"/>
            <w:tcMar>
              <w:top w:type="dxa" w:w="60"/>
              <w:left w:type="dxa" w:w="120"/>
              <w:bottom w:type="dxa" w:w="60"/>
              <w:right w:type="dxa" w:w="120"/>
            </w:tcMar>
          </w:tcPr>
          <w:p>
            <w:pPr>
              <w:jc w:val="left"/>
            </w:pPr>
            <w:r>
              <w:rPr>
                <w:rFonts w:ascii="Calibri" w:eastAsia="Microsoft YaHei"/>
                <w:color w:val="1A1A1A"/>
                <w:sz w:val="20"/>
                <w:szCs w:val="20"/>
              </w:rPr>
              <w:t xml:space="preserve">Medium</w:t>
            </w:r>
          </w:p>
        </w:tc>
        <w:tc>
          <w:tcPr>
            <w:tcW w:type="pct" w:w="42%"/>
            <w:tcMar>
              <w:top w:type="dxa" w:w="60"/>
              <w:left w:type="dxa" w:w="120"/>
              <w:bottom w:type="dxa" w:w="60"/>
              <w:right w:type="dxa" w:w="120"/>
            </w:tcMar>
          </w:tcPr>
          <w:p>
            <w:pPr>
              <w:jc w:val="left"/>
            </w:pPr>
            <w:r>
              <w:rPr>
                <w:rFonts w:ascii="Calibri" w:eastAsia="Microsoft YaHei"/>
                <w:color w:val="1A1A1A"/>
                <w:sz w:val="20"/>
                <w:szCs w:val="20"/>
              </w:rPr>
              <w:t xml:space="preserve">Strict scope document (this PRD); all new feature requests logged to v1.1 backlog, not added to v1.0</w:t>
            </w:r>
          </w:p>
        </w:tc>
      </w:tr>
      <w:tr>
        <w:trPr>
          <w:cantSplit/>
        </w:trPr>
        <w:tc>
          <w:tcPr>
            <w:tcW w:type="pct" w:w="30%"/>
            <w:shd w:fill="F0EDE5" w:val="clear"/>
            <w:tcMar>
              <w:top w:type="dxa" w:w="60"/>
              <w:left w:type="dxa" w:w="120"/>
              <w:bottom w:type="dxa" w:w="60"/>
              <w:right w:type="dxa" w:w="120"/>
            </w:tcMar>
          </w:tcPr>
          <w:p>
            <w:pPr>
              <w:jc w:val="left"/>
            </w:pPr>
            <w:r>
              <w:rPr>
                <w:rFonts w:ascii="Calibri" w:eastAsia="Microsoft YaHei"/>
                <w:color w:val="1A1A1A"/>
                <w:sz w:val="20"/>
                <w:szCs w:val="20"/>
              </w:rPr>
              <w:t xml:space="preserve">Salary fine calculation errors</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Medium</w:t>
            </w:r>
          </w:p>
        </w:tc>
        <w:tc>
          <w:tcPr>
            <w:tcW w:type="pct" w:w="14%"/>
            <w:shd w:fill="F0EDE5" w:val="clear"/>
            <w:tcMar>
              <w:top w:type="dxa" w:w="60"/>
              <w:left w:type="dxa" w:w="120"/>
              <w:bottom w:type="dxa" w:w="60"/>
              <w:right w:type="dxa" w:w="120"/>
            </w:tcMar>
          </w:tcPr>
          <w:p>
            <w:pPr>
              <w:jc w:val="left"/>
            </w:pPr>
            <w:r>
              <w:rPr>
                <w:rFonts w:ascii="Calibri" w:eastAsia="Microsoft YaHei"/>
                <w:color w:val="1A1A1A"/>
                <w:sz w:val="20"/>
                <w:szCs w:val="20"/>
              </w:rPr>
              <w:t xml:space="preserve">High</w:t>
            </w:r>
          </w:p>
        </w:tc>
        <w:tc>
          <w:tcPr>
            <w:tcW w:type="pct" w:w="42%"/>
            <w:shd w:fill="F0EDE5" w:val="clear"/>
            <w:tcMar>
              <w:top w:type="dxa" w:w="60"/>
              <w:left w:type="dxa" w:w="120"/>
              <w:bottom w:type="dxa" w:w="60"/>
              <w:right w:type="dxa" w:w="120"/>
            </w:tcMar>
          </w:tcPr>
          <w:p>
            <w:pPr>
              <w:jc w:val="left"/>
            </w:pPr>
            <w:r>
              <w:rPr>
                <w:rFonts w:ascii="Calibri" w:eastAsia="Microsoft YaHei"/>
                <w:color w:val="1A1A1A"/>
                <w:sz w:val="20"/>
                <w:szCs w:val="20"/>
              </w:rPr>
              <w:t xml:space="preserve">Comprehensive unit tests for all fine rule combinations; manual reconciliation with Excel for first three months at pilot school</w:t>
            </w:r>
          </w:p>
        </w:tc>
      </w:tr>
    </w:tbl>
    <w:p>
      <w:pPr>
        <w:pStyle w:val="Heading1"/>
        <w:spacing w:after="160" w:before="360" w:line="312"/>
      </w:pPr>
      <w:bookmarkStart w:id="100133" w:name="_Toc100133"/>
      <w:r>
        <w:rPr>
          <w:rFonts w:ascii="Calibri" w:eastAsia="SimHei"/>
          <w:b/>
          <w:bCs/>
          <w:color w:val="15857A"/>
          <w:sz w:val="32"/>
          <w:szCs w:val="32"/>
        </w:rPr>
        <w:t xml:space="preserve">27. Acceptance Criteria</w:t>
      </w:r>
      <w:bookmarkEnd w:id="100133"/>
    </w:p>
    <w:p>
      <w:pPr>
        <w:spacing w:after="80" w:line="312"/>
        <w:ind w:firstLine="360"/>
        <w:jc w:val="both"/>
      </w:pPr>
      <w:r>
        <w:rPr>
          <w:rFonts w:ascii="Calibri" w:eastAsia="Microsoft YaHei"/>
          <w:color w:val="1A1A1A"/>
          <w:sz w:val="22"/>
          <w:szCs w:val="22"/>
        </w:rPr>
        <w:t xml:space="preserve">Version 1.0 will be considered complete and ready for release when all of the following acceptance criteria have been verified by the QA team and confirmed by at least one pilot school. Each criterion is testable and has a clear pass/fail definition.</w:t>
      </w:r>
    </w:p>
    <w:p>
      <w:pPr>
        <w:pStyle w:val="ListParagraph"/>
        <w:numPr>
          <w:ilvl w:val="0"/>
          <w:numId w:val="1"/>
        </w:numPr>
        <w:spacing w:after="60" w:line="312"/>
      </w:pPr>
      <w:r>
        <w:rPr>
          <w:rFonts w:ascii="Calibri" w:eastAsia="Microsoft YaHei"/>
          <w:color w:val="1A1A1A"/>
          <w:sz w:val="22"/>
          <w:szCs w:val="22"/>
        </w:rPr>
        <w:t xml:space="preserve">All sixteen functional modules are implemented, accessible to the appropriate roles, and pass their module-level test cases.</w:t>
      </w:r>
    </w:p>
    <w:p>
      <w:pPr>
        <w:pStyle w:val="ListParagraph"/>
        <w:numPr>
          <w:ilvl w:val="0"/>
          <w:numId w:val="1"/>
        </w:numPr>
        <w:spacing w:after="60" w:line="312"/>
      </w:pPr>
      <w:r>
        <w:rPr>
          <w:rFonts w:ascii="Calibri" w:eastAsia="Microsoft YaHei"/>
          <w:color w:val="1A1A1A"/>
          <w:sz w:val="22"/>
          <w:szCs w:val="22"/>
        </w:rPr>
        <w:t xml:space="preserve">All three user roles (Admin, Accountant, Teacher) can log in, see their role-appropriate dashboard and menu, and perform their primary workflows without errors.</w:t>
      </w:r>
    </w:p>
    <w:p>
      <w:pPr>
        <w:pStyle w:val="ListParagraph"/>
        <w:numPr>
          <w:ilvl w:val="0"/>
          <w:numId w:val="1"/>
        </w:numPr>
        <w:spacing w:after="60" w:line="312"/>
      </w:pPr>
      <w:r>
        <w:rPr>
          <w:rFonts w:ascii="Calibri" w:eastAsia="Microsoft YaHei"/>
          <w:color w:val="1A1A1A"/>
          <w:sz w:val="22"/>
          <w:szCs w:val="22"/>
        </w:rPr>
        <w:t xml:space="preserve">Fee collection completes in under thirty seconds per student, with a printable receipt containing the school letterhead, itemized fees, and amount in words.</w:t>
      </w:r>
    </w:p>
    <w:p>
      <w:pPr>
        <w:pStyle w:val="ListParagraph"/>
        <w:numPr>
          <w:ilvl w:val="0"/>
          <w:numId w:val="1"/>
        </w:numPr>
        <w:spacing w:after="60" w:line="312"/>
      </w:pPr>
      <w:r>
        <w:rPr>
          <w:rFonts w:ascii="Calibri" w:eastAsia="Microsoft YaHei"/>
          <w:color w:val="1A1A1A"/>
          <w:sz w:val="22"/>
          <w:szCs w:val="22"/>
        </w:rPr>
        <w:t xml:space="preserve">Salary calculation for a school with one hundred employees completes in under three seconds, with each salary slip showing the correct attendance-based deductions as verified against a manual Excel calculation.</w:t>
      </w:r>
    </w:p>
    <w:p>
      <w:pPr>
        <w:pStyle w:val="ListParagraph"/>
        <w:numPr>
          <w:ilvl w:val="0"/>
          <w:numId w:val="1"/>
        </w:numPr>
        <w:spacing w:after="60" w:line="312"/>
      </w:pPr>
      <w:r>
        <w:rPr>
          <w:rFonts w:ascii="Calibri" w:eastAsia="Microsoft YaHei"/>
          <w:color w:val="1A1A1A"/>
          <w:sz w:val="22"/>
          <w:szCs w:val="22"/>
        </w:rPr>
        <w:t xml:space="preserve">Fee defaulter list generates in under one second, with filters by class and month working correctly, and is printable as a PDF with the school letterhead.</w:t>
      </w:r>
    </w:p>
    <w:p>
      <w:pPr>
        <w:pStyle w:val="ListParagraph"/>
        <w:numPr>
          <w:ilvl w:val="0"/>
          <w:numId w:val="1"/>
        </w:numPr>
        <w:spacing w:after="60" w:line="312"/>
      </w:pPr>
      <w:r>
        <w:rPr>
          <w:rFonts w:ascii="Calibri" w:eastAsia="Microsoft YaHei"/>
          <w:color w:val="1A1A1A"/>
          <w:sz w:val="22"/>
          <w:szCs w:val="22"/>
        </w:rPr>
        <w:t xml:space="preserve">Result card generation for a class of forty students produces a single PDF with forty pages in under ten seconds, with correct grades and positions.</w:t>
      </w:r>
    </w:p>
    <w:p>
      <w:pPr>
        <w:pStyle w:val="ListParagraph"/>
        <w:numPr>
          <w:ilvl w:val="0"/>
          <w:numId w:val="1"/>
        </w:numPr>
        <w:spacing w:after="60" w:line="312"/>
      </w:pPr>
      <w:r>
        <w:rPr>
          <w:rFonts w:ascii="Calibri" w:eastAsia="Microsoft YaHei"/>
          <w:color w:val="1A1A1A"/>
          <w:sz w:val="22"/>
          <w:szCs w:val="22"/>
        </w:rPr>
        <w:t xml:space="preserve">All four certificate types (Leaving, Character, Bonafide, Fee Paid) generate correctly with the school letterhead and are printable on A4.</w:t>
      </w:r>
    </w:p>
    <w:p>
      <w:pPr>
        <w:pStyle w:val="ListParagraph"/>
        <w:numPr>
          <w:ilvl w:val="0"/>
          <w:numId w:val="1"/>
        </w:numPr>
        <w:spacing w:after="60" w:line="312"/>
      </w:pPr>
      <w:r>
        <w:rPr>
          <w:rFonts w:ascii="Calibri" w:eastAsia="Microsoft YaHei"/>
          <w:color w:val="1A1A1A"/>
          <w:sz w:val="22"/>
          <w:szCs w:val="22"/>
        </w:rPr>
        <w:t xml:space="preserve">Backup and restore are tested: a backup file can be created, the database can be restored from it on a fresh installation, and all data is intact.</w:t>
      </w:r>
    </w:p>
    <w:p>
      <w:pPr>
        <w:pStyle w:val="ListParagraph"/>
        <w:numPr>
          <w:ilvl w:val="0"/>
          <w:numId w:val="1"/>
        </w:numPr>
        <w:spacing w:after="60" w:line="312"/>
      </w:pPr>
      <w:r>
        <w:rPr>
          <w:rFonts w:ascii="Calibri" w:eastAsia="Microsoft YaHei"/>
          <w:color w:val="1A1A1A"/>
          <w:sz w:val="22"/>
          <w:szCs w:val="22"/>
        </w:rPr>
        <w:t xml:space="preserve">The application installs and runs on Windows 10, Windows 11, macOS 13, and Ubuntu 22.04 without errors, with no administrative privileges required for installation.</w:t>
      </w:r>
    </w:p>
    <w:p>
      <w:pPr>
        <w:pStyle w:val="ListParagraph"/>
        <w:numPr>
          <w:ilvl w:val="0"/>
          <w:numId w:val="1"/>
        </w:numPr>
        <w:spacing w:after="60" w:line="312"/>
      </w:pPr>
      <w:r>
        <w:rPr>
          <w:rFonts w:ascii="Calibri" w:eastAsia="Microsoft YaHei"/>
          <w:color w:val="1A1A1A"/>
          <w:sz w:val="22"/>
          <w:szCs w:val="22"/>
        </w:rPr>
        <w:t xml:space="preserve">Demo school data (twenty students, five teachers, three staff, three months of attendance and fee history) is preloaded on first run, allowing a new user to explore every feature within five minutes of installation.</w:t>
      </w:r>
    </w:p>
    <w:p>
      <w:pPr>
        <w:pStyle w:val="ListParagraph"/>
        <w:numPr>
          <w:ilvl w:val="0"/>
          <w:numId w:val="1"/>
        </w:numPr>
        <w:spacing w:after="60" w:line="312"/>
      </w:pPr>
      <w:r>
        <w:rPr>
          <w:rFonts w:ascii="Calibri" w:eastAsia="Microsoft YaHei"/>
          <w:color w:val="1A1A1A"/>
          <w:sz w:val="22"/>
          <w:szCs w:val="22"/>
        </w:rPr>
        <w:t xml:space="preserve">A printable user manual (PDF, approximately twenty pages) is included in the installation, covering installation, initial setup, and each module's primary workflow.</w:t>
      </w:r>
    </w:p>
    <w:p>
      <w:pPr>
        <w:pStyle w:val="ListParagraph"/>
        <w:numPr>
          <w:ilvl w:val="0"/>
          <w:numId w:val="1"/>
        </w:numPr>
        <w:spacing w:after="60" w:line="312"/>
      </w:pPr>
      <w:r>
        <w:rPr>
          <w:rFonts w:ascii="Calibri" w:eastAsia="Microsoft YaHei"/>
          <w:color w:val="1A1A1A"/>
          <w:sz w:val="22"/>
          <w:szCs w:val="22"/>
        </w:rPr>
        <w:t xml:space="preserve">The application launches to a usable dashboard in under two seconds on the reference hardware (Intel i5, 8GB RAM, SSD).</w:t>
      </w:r>
    </w:p>
    <w:sectPr>
      <w:headerReference w:type="default" r:id="rId8"/>
      <w:footerReference w:type="default" r:id="rId9"/>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0606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060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eastAsia="Microsoft YaHei"/>
        <w:color w:val="606060"/>
        <w:sz w:val="18"/>
        <w:szCs w:val="18"/>
      </w:rPr>
      <w:t xml:space="preserve">School Management System — Product Requirements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5857A"/>
      <w:sz w:val="32"/>
      <w:szCs w:val="32"/>
    </w:rPr>
  </w:style>
  <w:style w:type="paragraph" w:styleId="Heading2">
    <w:name w:val="Heading 2"/>
    <w:basedOn w:val="Normal"/>
    <w:next w:val="Normal"/>
    <w:qFormat/>
    <w:pPr>
      <w:spacing w:after="120" w:before="280" w:line="312"/>
      <w:outlineLvl w:val="1"/>
    </w:pPr>
    <w:rPr>
      <w:rFonts w:ascii="Calibri" w:eastAsia="SimHei"/>
      <w:b/>
      <w:bCs/>
      <w:color w:val="15857A"/>
      <w:sz w:val="28"/>
      <w:szCs w:val="28"/>
    </w:rPr>
  </w:style>
  <w:style w:type="paragraph" w:styleId="Heading3">
    <w:name w:val="Heading 3"/>
    <w:basedOn w:val="Normal"/>
    <w:next w:val="Normal"/>
    <w:qFormat/>
    <w:pPr>
      <w:spacing w:after="100" w:before="220" w:line="312"/>
      <w:outlineLvl w:val="2"/>
    </w:pPr>
    <w:rPr>
      <w:rFonts w:ascii="Calibri" w:eastAsia="SimHei"/>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Management System — Product Requirements Document v1.0</dc:title>
  <dc:creator>School Management System PRD Generator</dc:creator>
  <dc:description>Polished PRD for an offline desktop school management application built with React + Tauri v2 + Rust + SQLite.</dc:description>
  <cp:lastModifiedBy>Un-named</cp:lastModifiedBy>
  <cp:revision>1</cp:revision>
  <dcterms:created xsi:type="dcterms:W3CDTF">2026-07-02T02:20:48.960Z</dcterms:created>
  <dcterms:modified xsi:type="dcterms:W3CDTF">2026-07-02T02:20:48.961Z</dcterms:modified>
</cp:coreProperties>
</file>

<file path=docProps/custom.xml><?xml version="1.0" encoding="utf-8"?>
<Properties xmlns="http://schemas.openxmlformats.org/officeDocument/2006/custom-properties" xmlns:vt="http://schemas.openxmlformats.org/officeDocument/2006/docPropsVTypes"/>
</file>