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SWTID1741164570151889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418.5431982421875" w:hRule="atLeast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SHABEER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bir303889@gmail.com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DIWAKAR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murugaveldiwakar@gmail.com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SACHIN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samsachin3128@gmail.com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 RAJA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joshuaraja2004@gmail.com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JAI SURYA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300" w:lineRule="auto"/>
              <w:rPr>
                <w:rFonts w:ascii="Arial" w:cs="Arial" w:eastAsia="Arial" w:hAnsi="Arial"/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0"/>
                <w:szCs w:val="20"/>
                <w:rtl w:val="0"/>
              </w:rPr>
              <w:t xml:space="preserve">sandyjai8838792690@gmail.com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/aesihV5DHHwa2wQg2OrrNw7oA==">CgMxLjA4AHIhMXBaWDNuc2tJMnE5Vk1xUHJKSHdfYXV5eXRtU0M0WDZi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