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 SWTID1741164570151889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rPr/>
            </w:pPr>
            <w:r w:rsidDel="00000000" w:rsidR="00000000" w:rsidRPr="00000000">
              <w:rPr>
                <w:b w:val="1"/>
                <w:sz w:val="28"/>
                <w:szCs w:val="28"/>
                <w:rtl w:val="0"/>
              </w:rPr>
              <w:t xml:space="preserve">Cryptoverse</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after="0" w:lineRule="auto"/>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18.5431982421875" w:hRule="atLeast"/>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SHABEER C</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bir303889@gmail.com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DIWAKAR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murugaveldiwakar@gmail.com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SACHIN A</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samsachin3128@gmail.com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 RAJA F</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joshuaraja2004@gmail.com</w:t>
            </w:r>
            <w:r w:rsidDel="00000000" w:rsidR="00000000" w:rsidRPr="00000000">
              <w:rPr>
                <w:rtl w:val="0"/>
              </w:rPr>
            </w:r>
          </w:p>
        </w:tc>
      </w:tr>
      <w:tr>
        <w:trPr>
          <w:cantSplit w:val="0"/>
          <w:tblHeader w:val="0"/>
        </w:trPr>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JAI SURYA M</w:t>
            </w:r>
            <w:r w:rsidDel="00000000" w:rsidR="00000000" w:rsidRPr="00000000">
              <w:rPr>
                <w:rtl w:val="0"/>
              </w:rPr>
            </w:r>
          </w:p>
        </w:tc>
        <w:tc>
          <w:tcPr>
            <w:tcBorders>
              <w:top w:color="f4f4f4" w:space="0" w:sz="5"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keepLines w:val="1"/>
              <w:spacing w:after="300" w:lineRule="auto"/>
              <w:rPr>
                <w:rFonts w:ascii="Arial" w:cs="Arial" w:eastAsia="Arial" w:hAnsi="Arial"/>
                <w:color w:val="35475c"/>
                <w:sz w:val="21"/>
                <w:szCs w:val="21"/>
              </w:rPr>
            </w:pPr>
            <w:r w:rsidDel="00000000" w:rsidR="00000000" w:rsidRPr="00000000">
              <w:rPr>
                <w:rFonts w:ascii="Arial" w:cs="Arial" w:eastAsia="Arial" w:hAnsi="Arial"/>
                <w:color w:val="35475c"/>
                <w:sz w:val="20"/>
                <w:szCs w:val="20"/>
                <w:rtl w:val="0"/>
              </w:rPr>
              <w:t xml:space="preserve">sandyjai8838792690@gmail.com</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A">
      <w:pPr>
        <w:rPr>
          <w:b w:val="1"/>
        </w:rPr>
      </w:pPr>
      <w:r w:rsidDel="00000000" w:rsidR="00000000" w:rsidRPr="00000000">
        <w:rPr>
          <w:b w:val="1"/>
          <w:rtl w:val="0"/>
        </w:rPr>
        <w:t xml:space="preserve">Purpose: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F">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20">
      <w:pPr>
        <w:rPr>
          <w:b w:val="1"/>
        </w:rPr>
      </w:pPr>
      <w:r w:rsidDel="00000000" w:rsidR="00000000" w:rsidRPr="00000000">
        <w:rPr>
          <w:b w:val="1"/>
          <w:rtl w:val="0"/>
        </w:rPr>
        <w:t xml:space="preserve">Solution:</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26">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hxUwH8U0b4lom2oQLOZN0lMEQ==">CgMxLjA4AHIhMTZZQzViY0pWSlA2Znhoc2NxR2N4NVBMb0tVRjhSbEc2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