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6x4eTpUJEI5mvCEKvTcGuLaxg==">CgMxLjA4AHIhMVpjLWUxQXl6ZkZlVVhCSW44dmtaRmtKQ19HcjJYVl90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