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aps/>
          <w:color w:val="B8860B"/>
          <w:sz w:val="20"/>
          <w:szCs w:val="20"/>
        </w:rPr>
        <w:t xml:space="preserve">THE SACRED EXPERIENCE</w:t>
      </w:r>
    </w:p>
    <w:p>
      <w:pPr>
        <w:spacing w:after="20"/>
        <w:jc w:val="center"/>
      </w:pPr>
      <w:r>
        <w:rPr>
          <w:b/>
          <w:bCs/>
          <w:color w:val="141019"/>
          <w:sz w:val="38"/>
          <w:szCs w:val="38"/>
        </w:rPr>
        <w:t xml:space="preserve">Costa Rica — Options &amp; Pricing</w:t>
      </w:r>
    </w:p>
    <w:p>
      <w:pPr>
        <w:spacing w:after="160"/>
        <w:jc w:val="center"/>
      </w:pPr>
      <w:r>
        <w:rPr>
          <w:i/>
          <w:iCs/>
          <w:color w:val="4A4550"/>
          <w:sz w:val="18"/>
          <w:szCs w:val="18"/>
        </w:rPr>
        <w:t xml:space="preserve">Up to 24 women · All-inclusive buyouts · Chef, transport &amp; amenities bundled · July 2026</w:t>
      </w:r>
    </w:p>
    <w:p>
      <w:pPr>
        <w:pBdr>
          <w:bottom w:val="single" w:color="B8860B" w:sz="6" w:space="1"/>
        </w:pBdr>
        <w:spacing w:after="120" w:before="60"/>
      </w:pPr>
    </w:p>
    <w:p>
      <w:pPr>
        <w:pStyle w:val="Heading1"/>
      </w:pPr>
      <w:r>
        <w:t xml:space="preserve">The Read</w:t>
      </w:r>
    </w:p>
    <w:p>
      <w:pPr>
        <w:spacing w:after="120"/>
      </w:pPr>
      <w:r>
        <w:t xml:space="preserve">Costa Rica flips your business model in a good way. In Georgia you’re the </w:t>
      </w:r>
      <w:r>
        <w:rPr>
          <w:b/>
          <w:bCs/>
        </w:rPr>
        <w:t xml:space="preserve">producer</w:t>
      </w:r>
      <w:r>
        <w:t xml:space="preserve"> — you front ~$20K and assemble venue, chef, massage, bar, and décor yourself. In Costa Rica you become the </w:t>
      </w:r>
      <w:r>
        <w:rPr>
          <w:b/>
          <w:bCs/>
        </w:rPr>
        <w:t xml:space="preserve">curator</w:t>
      </w:r>
      <w:r>
        <w:t xml:space="preserve">: the resort bundles lodging, a chef and all meals, airport transport, activities, and amenities into one per-person rate. Less to manage, less vendor risk — but that per-person rate becomes your cost of goods, so the ticket has to clear it.</w:t>
      </w:r>
    </w:p>
    <w:p>
      <w:pPr>
        <w:spacing w:after="120"/>
      </w:pPr>
      <w:r>
        <w:t xml:space="preserve">Real published rates land around </w:t>
      </w:r>
      <w:r>
        <w:rPr>
          <w:b/>
          <w:bCs/>
        </w:rPr>
        <w:t xml:space="preserve">$2,250–2,650 per person for an all-inclusive week</w:t>
      </w:r>
      <w:r>
        <w:t xml:space="preserve"> (double occupancy) at the premium centers, and value-luxury buyouts like Blue Osa run lower. Nothing here is exotic pricing — it’s in reach. The one line that never bundles is </w:t>
      </w:r>
      <w:r>
        <w:rPr>
          <w:b/>
          <w:bCs/>
        </w:rPr>
        <w:t xml:space="preserve">each guest’s international airfare (~$400–700 from the US)</w:t>
      </w:r>
      <w:r>
        <w:t xml:space="preserve">, which she books herself.</w:t>
      </w:r>
    </w:p>
    <w:p>
      <w:pPr>
        <w:spacing w:after="120"/>
      </w:pPr>
      <w:r>
        <w:t xml:space="preserve">Bottom line: keep your $2,500 ticket and run a 4-day signature retreat, or reposition to a premium week at ~$4,200. Both clear healthy margin on 24 women — the math is on page 2.</w:t>
      </w:r>
    </w:p>
    <w:p>
      <w:pPr>
        <w:pStyle w:val="Heading1"/>
      </w:pPr>
      <w:r>
        <w:t xml:space="preserve">Costa Rica Shortlist</w:t>
      </w:r>
    </w:p>
    <w:p>
      <w:pPr>
        <w:spacing w:after="120"/>
      </w:pPr>
      <w:r>
        <w:rPr>
          <w:i/>
          <w:iCs/>
          <w:color w:val="4A4550"/>
          <w:sz w:val="17"/>
          <w:szCs w:val="17"/>
        </w:rPr>
        <w:t xml:space="preserve">All are established retreat properties that host outside groups with full buyouts. Per-person figures are published all-inclusive week rates (lodging + all meals + activities); exact buyout quotes require direct contact and depend on season and nights.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250"/>
        <w:gridCol w:w="2760"/>
        <w:gridCol w:w="1650"/>
        <w:gridCol w:w="1650"/>
      </w:tblGrid>
      <w:tr>
        <w:trPr>
          <w:tblHeader/>
        </w:trPr>
        <w:tc>
          <w:tcPr>
            <w:tcW w:type="dxa" w:w="205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Venue · Area</w:t>
            </w:r>
          </w:p>
        </w:tc>
        <w:tc>
          <w:tcPr>
            <w:tcW w:type="dxa" w:w="125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Capacity</w:t>
            </w:r>
          </w:p>
        </w:tc>
        <w:tc>
          <w:tcPr>
            <w:tcW w:type="dxa" w:w="276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What's bundled</w:t>
            </w:r>
          </w:p>
        </w:tc>
        <w:tc>
          <w:tcPr>
            <w:tcW w:type="dxa" w:w="165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Per person (week, all-in)</w:t>
            </w:r>
          </w:p>
        </w:tc>
        <w:tc>
          <w:tcPr>
            <w:tcW w:type="dxa" w:w="165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Est. total / 24</w:t>
            </w:r>
          </w:p>
        </w:tc>
      </w:tr>
      <w:tr>
        <w:tc>
          <w:tcPr>
            <w:tcW w:type="dxa" w:w="20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b/>
                <w:bCs/>
                <w:sz w:val="16"/>
                <w:szCs w:val="16"/>
              </w:rPr>
              <w:t xml:space="preserve">Blue Osa — Osa Peninsula</w:t>
            </w:r>
          </w:p>
        </w:tc>
        <w:tc>
          <w:tcPr>
            <w:tcW w:type="dxa" w:w="12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sz w:val="16"/>
                <w:szCs w:val="16"/>
              </w:rPr>
              <w:t xml:space="preserve">38 / 13 rms</w:t>
            </w:r>
          </w:p>
        </w:tc>
        <w:tc>
          <w:tcPr>
            <w:tcW w:type="dxa" w:w="276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sz w:val="16"/>
                <w:szCs w:val="16"/>
              </w:rPr>
              <w:t xml:space="preserve">3 farm-to-table meals, private jungle beach, pool, spa; Sat–Sat buyout</w:t>
            </w:r>
          </w:p>
        </w:tc>
        <w:tc>
          <w:tcPr>
            <w:tcW w:type="dxa" w:w="16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b/>
                <w:bCs/>
                <w:color w:val="0E7C7B"/>
                <w:sz w:val="16"/>
                <w:szCs w:val="16"/>
              </w:rPr>
              <w:t xml:space="preserve">~$1,440–2,000</w:t>
            </w:r>
          </w:p>
        </w:tc>
        <w:tc>
          <w:tcPr>
            <w:tcW w:type="dxa" w:w="16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center"/>
          </w:tcPr>
          <w:p>
            <w:r>
              <w:rPr>
                <w:b/>
                <w:bCs/>
                <w:sz w:val="16"/>
                <w:szCs w:val="16"/>
              </w:rPr>
              <w:t xml:space="preserve">~$35K–48K</w:t>
            </w:r>
          </w:p>
        </w:tc>
      </w:tr>
      <w:tr>
        <w:tc>
          <w:tcPr>
            <w:tcW w:type="dxa" w:w="20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b/>
                <w:bCs/>
                <w:sz w:val="16"/>
                <w:szCs w:val="16"/>
              </w:rPr>
              <w:t xml:space="preserve">Synergy — Uvita</w:t>
            </w:r>
          </w:p>
        </w:tc>
        <w:tc>
          <w:tcPr>
            <w:tcW w:type="dxa" w:w="12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6"/>
                <w:szCs w:val="16"/>
              </w:rPr>
              <w:t xml:space="preserve">27 / 23 beds</w:t>
            </w:r>
          </w:p>
        </w:tc>
        <w:tc>
          <w:tcPr>
            <w:tcW w:type="dxa" w:w="276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6"/>
                <w:szCs w:val="16"/>
              </w:rPr>
              <w:t xml:space="preserve">Gourmet chef, farm-to-table, end-to-end planning + logistics</w:t>
            </w:r>
          </w:p>
        </w:tc>
        <w:tc>
          <w:tcPr>
            <w:tcW w:type="dxa" w:w="16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b/>
                <w:bCs/>
                <w:color w:val="0E7C7B"/>
                <w:sz w:val="16"/>
                <w:szCs w:val="16"/>
              </w:rPr>
              <w:t xml:space="preserve">~$2,000–2,500 (est)</w:t>
            </w:r>
          </w:p>
        </w:tc>
        <w:tc>
          <w:tcPr>
            <w:tcW w:type="dxa" w:w="16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center"/>
          </w:tcPr>
          <w:p>
            <w:r>
              <w:rPr>
                <w:b/>
                <w:bCs/>
                <w:sz w:val="16"/>
                <w:szCs w:val="16"/>
              </w:rPr>
              <w:t xml:space="preserve">~$48K–60K</w:t>
            </w:r>
          </w:p>
        </w:tc>
      </w:tr>
      <w:tr>
        <w:tc>
          <w:tcPr>
            <w:tcW w:type="dxa" w:w="20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b/>
                <w:bCs/>
                <w:sz w:val="16"/>
                <w:szCs w:val="16"/>
              </w:rPr>
              <w:t xml:space="preserve">Bodhi Tree — Nosara</w:t>
            </w:r>
          </w:p>
        </w:tc>
        <w:tc>
          <w:tcPr>
            <w:tcW w:type="dxa" w:w="12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sz w:val="16"/>
                <w:szCs w:val="16"/>
              </w:rPr>
              <w:t xml:space="preserve">flexible, min 10</w:t>
            </w:r>
          </w:p>
        </w:tc>
        <w:tc>
          <w:tcPr>
            <w:tcW w:type="dxa" w:w="276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sz w:val="16"/>
                <w:szCs w:val="16"/>
              </w:rPr>
              <w:t xml:space="preserve">3 gourmet meals, 2× daily yoga, 5-star casitas, 8 acres</w:t>
            </w:r>
          </w:p>
        </w:tc>
        <w:tc>
          <w:tcPr>
            <w:tcW w:type="dxa" w:w="16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b/>
                <w:bCs/>
                <w:color w:val="0E7C7B"/>
                <w:sz w:val="16"/>
                <w:szCs w:val="16"/>
              </w:rPr>
              <w:t xml:space="preserve">~$2,299–2,600</w:t>
            </w:r>
          </w:p>
        </w:tc>
        <w:tc>
          <w:tcPr>
            <w:tcW w:type="dxa" w:w="16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center"/>
          </w:tcPr>
          <w:p>
            <w:r>
              <w:rPr>
                <w:b/>
                <w:bCs/>
                <w:sz w:val="16"/>
                <w:szCs w:val="16"/>
              </w:rPr>
              <w:t xml:space="preserve">~$55K–62K</w:t>
            </w:r>
          </w:p>
        </w:tc>
      </w:tr>
      <w:tr>
        <w:tc>
          <w:tcPr>
            <w:tcW w:type="dxa" w:w="20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b/>
                <w:bCs/>
                <w:sz w:val="16"/>
                <w:szCs w:val="16"/>
              </w:rPr>
              <w:t xml:space="preserve">Anamaya — Montezuma</w:t>
            </w:r>
          </w:p>
        </w:tc>
        <w:tc>
          <w:tcPr>
            <w:tcW w:type="dxa" w:w="12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6"/>
                <w:szCs w:val="16"/>
              </w:rPr>
              <w:t xml:space="preserve">~26</w:t>
            </w:r>
          </w:p>
        </w:tc>
        <w:tc>
          <w:tcPr>
            <w:tcW w:type="dxa" w:w="276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6"/>
                <w:szCs w:val="16"/>
              </w:rPr>
              <w:t xml:space="preserve">All meals, yoga, ground transport + excursions, sauna, infinity pool</w:t>
            </w:r>
          </w:p>
        </w:tc>
        <w:tc>
          <w:tcPr>
            <w:tcW w:type="dxa" w:w="16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b/>
                <w:bCs/>
                <w:color w:val="0E7C7B"/>
                <w:sz w:val="16"/>
                <w:szCs w:val="16"/>
              </w:rPr>
              <w:t xml:space="preserve">$2,650 dbl / $2,250 tpl</w:t>
            </w:r>
          </w:p>
        </w:tc>
        <w:tc>
          <w:tcPr>
            <w:tcW w:type="dxa" w:w="16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center"/>
          </w:tcPr>
          <w:p>
            <w:r>
              <w:rPr>
                <w:b/>
                <w:bCs/>
                <w:sz w:val="16"/>
                <w:szCs w:val="16"/>
              </w:rPr>
              <w:t xml:space="preserve">~$54K–64K</w:t>
            </w:r>
          </w:p>
        </w:tc>
      </w:tr>
      <w:tr>
        <w:tc>
          <w:tcPr>
            <w:tcW w:type="dxa" w:w="20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b/>
                <w:bCs/>
                <w:sz w:val="16"/>
                <w:szCs w:val="16"/>
              </w:rPr>
              <w:t xml:space="preserve">The Retreat CR — Atenas</w:t>
            </w:r>
          </w:p>
        </w:tc>
        <w:tc>
          <w:tcPr>
            <w:tcW w:type="dxa" w:w="12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sz w:val="16"/>
                <w:szCs w:val="16"/>
              </w:rPr>
              <w:t xml:space="preserve">buyout, 4-nt min</w:t>
            </w:r>
          </w:p>
        </w:tc>
        <w:tc>
          <w:tcPr>
            <w:tcW w:type="dxa" w:w="276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sz w:val="16"/>
                <w:szCs w:val="16"/>
              </w:rPr>
              <w:t xml:space="preserve">Wellness resort, spa, plant-based cuisine; 20 min from SJO airport</w:t>
            </w:r>
          </w:p>
        </w:tc>
        <w:tc>
          <w:tcPr>
            <w:tcW w:type="dxa" w:w="16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top"/>
          </w:tcPr>
          <w:p>
            <w:r>
              <w:rPr>
                <w:b/>
                <w:bCs/>
                <w:color w:val="0E7C7B"/>
                <w:sz w:val="16"/>
                <w:szCs w:val="16"/>
              </w:rPr>
              <w:t xml:space="preserve">by quote (premium)</w:t>
            </w:r>
          </w:p>
        </w:tc>
        <w:tc>
          <w:tcPr>
            <w:tcW w:type="dxa" w:w="1650"/>
            <w:tcBorders>
              <w:top w:val="single" w:color="D9D2E3" w:sz="1"/>
              <w:left w:val="single" w:color="D9D2E3" w:sz="1"/>
              <w:bottom w:val="single" w:color="D9D2E3" w:sz="1"/>
              <w:right w:val="single" w:color="D9D2E3" w:sz="1"/>
            </w:tcBorders>
            <w:shd w:fill="FFFFFF" w:val="clear"/>
            <w:tcMar>
              <w:top w:type="dxa" w:w="70"/>
              <w:left w:type="dxa" w:w="110"/>
              <w:bottom w:type="dxa" w:w="70"/>
              <w:right w:type="dxa" w:w="110"/>
            </w:tcMar>
            <w:vAlign w:val="center"/>
          </w:tcPr>
          <w:p>
            <w:r>
              <w:rPr>
                <w:b/>
                <w:bCs/>
                <w:sz w:val="16"/>
                <w:szCs w:val="16"/>
              </w:rPr>
              <w:t xml:space="preserve">quote</w:t>
            </w:r>
          </w:p>
        </w:tc>
      </w:tr>
      <w:tr>
        <w:tc>
          <w:tcPr>
            <w:tcW w:type="dxa" w:w="20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b/>
                <w:bCs/>
                <w:sz w:val="16"/>
                <w:szCs w:val="16"/>
              </w:rPr>
              <w:t xml:space="preserve">Casa Pasha — Santa Teresa</w:t>
            </w:r>
          </w:p>
        </w:tc>
        <w:tc>
          <w:tcPr>
            <w:tcW w:type="dxa" w:w="12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6"/>
                <w:szCs w:val="16"/>
              </w:rPr>
              <w:t xml:space="preserve">sleeps 20</w:t>
            </w:r>
          </w:p>
        </w:tc>
        <w:tc>
          <w:tcPr>
            <w:tcW w:type="dxa" w:w="276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6"/>
                <w:szCs w:val="16"/>
              </w:rPr>
              <w:t xml:space="preserve">Beachfront estate, staff of 14 incl. private chef, breakfast + snacks</w:t>
            </w:r>
          </w:p>
        </w:tc>
        <w:tc>
          <w:tcPr>
            <w:tcW w:type="dxa" w:w="16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b/>
                <w:bCs/>
                <w:color w:val="0E7C7B"/>
                <w:sz w:val="16"/>
                <w:szCs w:val="16"/>
              </w:rPr>
              <w:t xml:space="preserve">villa buyout</w:t>
            </w:r>
          </w:p>
        </w:tc>
        <w:tc>
          <w:tcPr>
            <w:tcW w:type="dxa" w:w="165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center"/>
          </w:tcPr>
          <w:p>
            <w:r>
              <w:rPr>
                <w:b/>
                <w:bCs/>
                <w:sz w:val="16"/>
                <w:szCs w:val="16"/>
              </w:rPr>
              <w:t xml:space="preserve">quote</w:t>
            </w:r>
          </w:p>
        </w:tc>
      </w:tr>
    </w:tbl>
    <w:p>
      <w:pPr>
        <w:spacing w:before="80"/>
      </w:pPr>
      <w:r>
        <w:rPr>
          <w:i/>
          <w:iCs/>
          <w:color w:val="4A4550"/>
          <w:sz w:val="17"/>
          <w:szCs w:val="17"/>
        </w:rPr>
        <w:t xml:space="preserve">Best fits for 24 with room to spare: Blue Osa (38), Synergy (27), Anamaya (~26). Bodhi Tree scales to your number and is the most polished ‘5-star’ feel.</w:t>
      </w:r>
    </w:p>
    <w:p>
      <w:r>
        <w:br w:type="page"/>
      </w:r>
    </w:p>
    <w:p>
      <w:pPr>
        <w:pStyle w:val="Heading1"/>
      </w:pPr>
      <w:r>
        <w:t xml:space="preserve">How the Ticket Math Works</w:t>
      </w:r>
    </w:p>
    <w:p>
      <w:pPr>
        <w:spacing w:after="120"/>
      </w:pPr>
      <w:r>
        <w:t xml:space="preserve">The resort’s per-person rate is your cost of goods. Your ticket has to cover it, plus your own overhead (headliner, your travel and lodging, content, marketing, welcome gifts), plus margin. Two clean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
            </w:r>
          </w:p>
        </w:tc>
        <w:tc>
          <w:tcPr>
            <w:tcW w:type="dxa" w:w="300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Signature (4 days / 3 nights)</w:t>
            </w:r>
          </w:p>
        </w:tc>
        <w:tc>
          <w:tcPr>
            <w:tcW w:type="dxa" w:w="3000"/>
            <w:tcBorders>
              <w:top w:val="single" w:color="D9D2E3" w:sz="1"/>
              <w:left w:val="single" w:color="D9D2E3" w:sz="1"/>
              <w:bottom w:val="single" w:color="D9D2E3" w:sz="1"/>
              <w:right w:val="single" w:color="D9D2E3" w:sz="1"/>
            </w:tcBorders>
            <w:shd w:fill="1E1730" w:val="clear"/>
            <w:tcMar>
              <w:top w:type="dxa" w:w="70"/>
              <w:left w:type="dxa" w:w="110"/>
              <w:bottom w:type="dxa" w:w="70"/>
              <w:right w:type="dxa" w:w="110"/>
            </w:tcMar>
            <w:vAlign w:val="center"/>
          </w:tcPr>
          <w:p>
            <w:r>
              <w:rPr>
                <w:b/>
                <w:bCs/>
                <w:color w:val="FFFFFF"/>
                <w:sz w:val="17"/>
                <w:szCs w:val="17"/>
              </w:rPr>
              <w:t xml:space="preserve">Premium Week (6 days / 5 nights)</w:t>
            </w:r>
          </w:p>
        </w:tc>
      </w:tr>
      <w:tr>
        <w:tc>
          <w:tcPr>
            <w:tcW w:type="dxa" w:w="3360"/>
            <w:tcBorders>
              <w:top w:val="single" w:color="D9D2E3" w:sz="1"/>
              <w:left w:val="single" w:color="D9D2E3" w:sz="1"/>
              <w:bottom w:val="single" w:color="D9D2E3" w:sz="1"/>
              <w:right w:val="single" w:color="D9D2E3" w:sz="1"/>
            </w:tcBorders>
            <w:tcMar>
              <w:top w:type="dxa" w:w="70"/>
              <w:left w:type="dxa" w:w="110"/>
              <w:bottom w:type="dxa" w:w="70"/>
              <w:right w:type="dxa" w:w="110"/>
            </w:tcMar>
            <w:vAlign w:val="top"/>
          </w:tcPr>
          <w:p>
            <w:r>
              <w:rPr>
                <w:sz w:val="18"/>
                <w:szCs w:val="18"/>
              </w:rPr>
              <w:t xml:space="preserve">Resort cost per guest (all-in)</w:t>
            </w:r>
          </w:p>
        </w:tc>
        <w:tc>
          <w:tcPr>
            <w:tcW w:type="dxa" w:w="3000"/>
            <w:tcBorders>
              <w:top w:val="single" w:color="D9D2E3" w:sz="1"/>
              <w:left w:val="single" w:color="D9D2E3" w:sz="1"/>
              <w:bottom w:val="single" w:color="D9D2E3" w:sz="1"/>
              <w:right w:val="single" w:color="D9D2E3" w:sz="1"/>
            </w:tcBorders>
            <w:tcMar>
              <w:top w:type="dxa" w:w="70"/>
              <w:left w:type="dxa" w:w="110"/>
              <w:bottom w:type="dxa" w:w="70"/>
              <w:right w:type="dxa" w:w="110"/>
            </w:tcMar>
            <w:vAlign w:val="center"/>
          </w:tcPr>
          <w:p>
            <w:r>
              <w:rPr>
                <w:sz w:val="18"/>
                <w:szCs w:val="18"/>
              </w:rPr>
              <w:t xml:space="preserve">~$1,500</w:t>
            </w:r>
          </w:p>
        </w:tc>
        <w:tc>
          <w:tcPr>
            <w:tcW w:type="dxa" w:w="3000"/>
            <w:tcBorders>
              <w:top w:val="single" w:color="D9D2E3" w:sz="1"/>
              <w:left w:val="single" w:color="D9D2E3" w:sz="1"/>
              <w:bottom w:val="single" w:color="D9D2E3" w:sz="1"/>
              <w:right w:val="single" w:color="D9D2E3" w:sz="1"/>
            </w:tcBorders>
            <w:tcMar>
              <w:top w:type="dxa" w:w="70"/>
              <w:left w:type="dxa" w:w="110"/>
              <w:bottom w:type="dxa" w:w="70"/>
              <w:right w:type="dxa" w:w="110"/>
            </w:tcMar>
            <w:vAlign w:val="center"/>
          </w:tcPr>
          <w:p>
            <w:r>
              <w:rPr>
                <w:sz w:val="18"/>
                <w:szCs w:val="18"/>
              </w:rPr>
              <w:t xml:space="preserve">~$2,650</w:t>
            </w:r>
          </w:p>
        </w:tc>
      </w:tr>
      <w:tr>
        <w:tc>
          <w:tcPr>
            <w:tcW w:type="dxa" w:w="3360"/>
            <w:tcBorders>
              <w:top w:val="single" w:color="D9D2E3" w:sz="1"/>
              <w:left w:val="single" w:color="D9D2E3" w:sz="1"/>
              <w:bottom w:val="single" w:color="D9D2E3" w:sz="1"/>
              <w:right w:val="single" w:color="D9D2E3" w:sz="1"/>
            </w:tcBorders>
            <w:tcMar>
              <w:top w:type="dxa" w:w="70"/>
              <w:left w:type="dxa" w:w="110"/>
              <w:bottom w:type="dxa" w:w="70"/>
              <w:right w:type="dxa" w:w="110"/>
            </w:tcMar>
            <w:vAlign w:val="top"/>
          </w:tcPr>
          <w:p>
            <w:r>
              <w:rPr>
                <w:sz w:val="18"/>
                <w:szCs w:val="18"/>
              </w:rPr>
              <w:t xml:space="preserve">Ticket price</w:t>
            </w:r>
          </w:p>
        </w:tc>
        <w:tc>
          <w:tcPr>
            <w:tcW w:type="dxa" w:w="3000"/>
            <w:tcBorders>
              <w:top w:val="single" w:color="D9D2E3" w:sz="1"/>
              <w:left w:val="single" w:color="D9D2E3" w:sz="1"/>
              <w:bottom w:val="single" w:color="D9D2E3" w:sz="1"/>
              <w:right w:val="single" w:color="D9D2E3" w:sz="1"/>
            </w:tcBorders>
            <w:tcMar>
              <w:top w:type="dxa" w:w="70"/>
              <w:left w:type="dxa" w:w="110"/>
              <w:bottom w:type="dxa" w:w="70"/>
              <w:right w:type="dxa" w:w="110"/>
            </w:tcMar>
            <w:vAlign w:val="center"/>
          </w:tcPr>
          <w:p>
            <w:r>
              <w:rPr>
                <w:color w:val="0E7C7B"/>
                <w:sz w:val="18"/>
                <w:szCs w:val="18"/>
              </w:rPr>
              <w:t xml:space="preserve">$2,500</w:t>
            </w:r>
          </w:p>
        </w:tc>
        <w:tc>
          <w:tcPr>
            <w:tcW w:type="dxa" w:w="3000"/>
            <w:tcBorders>
              <w:top w:val="single" w:color="D9D2E3" w:sz="1"/>
              <w:left w:val="single" w:color="D9D2E3" w:sz="1"/>
              <w:bottom w:val="single" w:color="D9D2E3" w:sz="1"/>
              <w:right w:val="single" w:color="D9D2E3" w:sz="1"/>
            </w:tcBorders>
            <w:tcMar>
              <w:top w:type="dxa" w:w="70"/>
              <w:left w:type="dxa" w:w="110"/>
              <w:bottom w:type="dxa" w:w="70"/>
              <w:right w:type="dxa" w:w="110"/>
            </w:tcMar>
            <w:vAlign w:val="center"/>
          </w:tcPr>
          <w:p>
            <w:r>
              <w:rPr>
                <w:color w:val="0E7C7B"/>
                <w:sz w:val="18"/>
                <w:szCs w:val="18"/>
              </w:rPr>
              <w:t xml:space="preserve">$4,200</w:t>
            </w:r>
          </w:p>
        </w:tc>
      </w:tr>
      <w:tr>
        <w:tc>
          <w:tcPr>
            <w:tcW w:type="dxa" w:w="3360"/>
            <w:tcBorders>
              <w:top w:val="single" w:color="D9D2E3" w:sz="1"/>
              <w:left w:val="single" w:color="D9D2E3" w:sz="1"/>
              <w:bottom w:val="single" w:color="D9D2E3" w:sz="1"/>
              <w:right w:val="single" w:color="D9D2E3" w:sz="1"/>
            </w:tcBorders>
            <w:tcMar>
              <w:top w:type="dxa" w:w="70"/>
              <w:left w:type="dxa" w:w="110"/>
              <w:bottom w:type="dxa" w:w="70"/>
              <w:right w:type="dxa" w:w="110"/>
            </w:tcMar>
            <w:vAlign w:val="top"/>
          </w:tcPr>
          <w:p>
            <w:r>
              <w:rPr>
                <w:sz w:val="18"/>
                <w:szCs w:val="18"/>
              </w:rPr>
              <w:t xml:space="preserve">Your margin per guest</w:t>
            </w:r>
          </w:p>
        </w:tc>
        <w:tc>
          <w:tcPr>
            <w:tcW w:type="dxa" w:w="3000"/>
            <w:tcBorders>
              <w:top w:val="single" w:color="D9D2E3" w:sz="1"/>
              <w:left w:val="single" w:color="D9D2E3" w:sz="1"/>
              <w:bottom w:val="single" w:color="D9D2E3" w:sz="1"/>
              <w:right w:val="single" w:color="D9D2E3" w:sz="1"/>
            </w:tcBorders>
            <w:tcMar>
              <w:top w:type="dxa" w:w="70"/>
              <w:left w:type="dxa" w:w="110"/>
              <w:bottom w:type="dxa" w:w="70"/>
              <w:right w:type="dxa" w:w="110"/>
            </w:tcMar>
            <w:vAlign w:val="center"/>
          </w:tcPr>
          <w:p>
            <w:r>
              <w:rPr>
                <w:color w:val="1E7A4C"/>
                <w:sz w:val="18"/>
                <w:szCs w:val="18"/>
              </w:rPr>
              <w:t xml:space="preserve">~$1,000</w:t>
            </w:r>
          </w:p>
        </w:tc>
        <w:tc>
          <w:tcPr>
            <w:tcW w:type="dxa" w:w="3000"/>
            <w:tcBorders>
              <w:top w:val="single" w:color="D9D2E3" w:sz="1"/>
              <w:left w:val="single" w:color="D9D2E3" w:sz="1"/>
              <w:bottom w:val="single" w:color="D9D2E3" w:sz="1"/>
              <w:right w:val="single" w:color="D9D2E3" w:sz="1"/>
            </w:tcBorders>
            <w:tcMar>
              <w:top w:type="dxa" w:w="70"/>
              <w:left w:type="dxa" w:w="110"/>
              <w:bottom w:type="dxa" w:w="70"/>
              <w:right w:type="dxa" w:w="110"/>
            </w:tcMar>
            <w:vAlign w:val="center"/>
          </w:tcPr>
          <w:p>
            <w:r>
              <w:rPr>
                <w:color w:val="1E7A4C"/>
                <w:sz w:val="18"/>
                <w:szCs w:val="18"/>
              </w:rPr>
              <w:t xml:space="preserve">~$1,550</w:t>
            </w:r>
          </w:p>
        </w:tc>
      </w:tr>
      <w:tr>
        <w:tc>
          <w:tcPr>
            <w:tcW w:type="dxa" w:w="3360"/>
            <w:tcBorders>
              <w:top w:val="single" w:color="D9D2E3" w:sz="1"/>
              <w:left w:val="single" w:color="D9D2E3" w:sz="1"/>
              <w:bottom w:val="single" w:color="D9D2E3" w:sz="1"/>
              <w:right w:val="single" w:color="D9D2E3" w:sz="1"/>
            </w:tcBorders>
            <w:shd w:fill="EFE7DA" w:val="clear"/>
            <w:tcMar>
              <w:top w:type="dxa" w:w="70"/>
              <w:left w:type="dxa" w:w="110"/>
              <w:bottom w:type="dxa" w:w="70"/>
              <w:right w:type="dxa" w:w="110"/>
            </w:tcMar>
            <w:vAlign w:val="top"/>
          </w:tcPr>
          <w:p>
            <w:r>
              <w:rPr>
                <w:b/>
                <w:bCs/>
                <w:sz w:val="18"/>
                <w:szCs w:val="18"/>
              </w:rPr>
              <w:t xml:space="preserve">Gross margin at 24 guests</w:t>
            </w:r>
          </w:p>
        </w:tc>
        <w:tc>
          <w:tcPr>
            <w:tcW w:type="dxa" w:w="3000"/>
            <w:tcBorders>
              <w:top w:val="single" w:color="D9D2E3" w:sz="1"/>
              <w:left w:val="single" w:color="D9D2E3" w:sz="1"/>
              <w:bottom w:val="single" w:color="D9D2E3" w:sz="1"/>
              <w:right w:val="single" w:color="D9D2E3" w:sz="1"/>
            </w:tcBorders>
            <w:shd w:fill="EFE7DA" w:val="clear"/>
            <w:tcMar>
              <w:top w:type="dxa" w:w="70"/>
              <w:left w:type="dxa" w:w="110"/>
              <w:bottom w:type="dxa" w:w="70"/>
              <w:right w:type="dxa" w:w="110"/>
            </w:tcMar>
            <w:vAlign w:val="center"/>
          </w:tcPr>
          <w:p>
            <w:r>
              <w:rPr>
                <w:b/>
                <w:bCs/>
                <w:color w:val="1E7A4C"/>
                <w:sz w:val="18"/>
                <w:szCs w:val="18"/>
              </w:rPr>
              <w:t xml:space="preserve">~$24,000</w:t>
            </w:r>
          </w:p>
        </w:tc>
        <w:tc>
          <w:tcPr>
            <w:tcW w:type="dxa" w:w="3000"/>
            <w:tcBorders>
              <w:top w:val="single" w:color="D9D2E3" w:sz="1"/>
              <w:left w:val="single" w:color="D9D2E3" w:sz="1"/>
              <w:bottom w:val="single" w:color="D9D2E3" w:sz="1"/>
              <w:right w:val="single" w:color="D9D2E3" w:sz="1"/>
            </w:tcBorders>
            <w:shd w:fill="EFE7DA" w:val="clear"/>
            <w:tcMar>
              <w:top w:type="dxa" w:w="70"/>
              <w:left w:type="dxa" w:w="110"/>
              <w:bottom w:type="dxa" w:w="70"/>
              <w:right w:type="dxa" w:w="110"/>
            </w:tcMar>
            <w:vAlign w:val="center"/>
          </w:tcPr>
          <w:p>
            <w:r>
              <w:rPr>
                <w:b/>
                <w:bCs/>
                <w:color w:val="1E7A4C"/>
                <w:sz w:val="18"/>
                <w:szCs w:val="18"/>
              </w:rPr>
              <w:t xml:space="preserve">~$37,200</w:t>
            </w:r>
          </w:p>
        </w:tc>
      </w:tr>
      <w:tr>
        <w:tc>
          <w:tcPr>
            <w:tcW w:type="dxa" w:w="336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top"/>
          </w:tcPr>
          <w:p>
            <w:r>
              <w:rPr>
                <w:sz w:val="18"/>
                <w:szCs w:val="18"/>
              </w:rPr>
              <w:t xml:space="preserve">Guest airfare (paid by her)</w:t>
            </w:r>
          </w:p>
        </w:tc>
        <w:tc>
          <w:tcPr>
            <w:tcW w:type="dxa" w:w="300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center"/>
          </w:tcPr>
          <w:p>
            <w:r>
              <w:rPr>
                <w:sz w:val="18"/>
                <w:szCs w:val="18"/>
              </w:rPr>
              <w:t xml:space="preserve">~$400–700</w:t>
            </w:r>
          </w:p>
        </w:tc>
        <w:tc>
          <w:tcPr>
            <w:tcW w:type="dxa" w:w="3000"/>
            <w:tcBorders>
              <w:top w:val="single" w:color="D9D2E3" w:sz="1"/>
              <w:left w:val="single" w:color="D9D2E3" w:sz="1"/>
              <w:bottom w:val="single" w:color="D9D2E3" w:sz="1"/>
              <w:right w:val="single" w:color="D9D2E3" w:sz="1"/>
            </w:tcBorders>
            <w:shd w:fill="F4F0F7" w:val="clear"/>
            <w:tcMar>
              <w:top w:type="dxa" w:w="70"/>
              <w:left w:type="dxa" w:w="110"/>
              <w:bottom w:type="dxa" w:w="70"/>
              <w:right w:type="dxa" w:w="110"/>
            </w:tcMar>
            <w:vAlign w:val="center"/>
          </w:tcPr>
          <w:p>
            <w:r>
              <w:rPr>
                <w:sz w:val="18"/>
                <w:szCs w:val="18"/>
              </w:rPr>
              <w:t xml:space="preserve">~$400–700</w:t>
            </w:r>
          </w:p>
        </w:tc>
      </w:tr>
    </w:tbl>
    <w:p>
      <w:pPr>
        <w:spacing w:before="80"/>
      </w:pPr>
      <w:r>
        <w:rPr>
          <w:i/>
          <w:iCs/>
          <w:color w:val="4A4550"/>
          <w:sz w:val="17"/>
          <w:szCs w:val="17"/>
        </w:rPr>
        <w:t xml:space="preserve">Figures are planning estimates from published rates, not quotes. Your overhead (headliner, your travel, content, gifts) comes out of the gross margin above — budget ~$8K–12K for it, leaving healthy net either way.</w:t>
      </w:r>
    </w:p>
    <w:p>
      <w:pPr>
        <w:pStyle w:val="Heading2"/>
      </w:pPr>
      <w:r>
        <w:t xml:space="preserve">Signature (4 days / 3 nights) — recommended first move</w:t>
      </w:r>
    </w:p>
    <w:p>
      <w:pPr>
        <w:pStyle w:val="ListParagraph"/>
        <w:numPr>
          <w:ilvl w:val="0"/>
          <w:numId w:val="2"/>
        </w:numPr>
        <w:spacing w:after="50"/>
      </w:pPr>
      <w:r>
        <w:t xml:space="preserve">Keeps your proven $2,500 ticket and mirrors the Georgia length, so guests aren’t asked to take a full week off.</w:t>
      </w:r>
    </w:p>
    <w:p>
      <w:pPr>
        <w:pStyle w:val="ListParagraph"/>
        <w:numPr>
          <w:ilvl w:val="0"/>
          <w:numId w:val="2"/>
        </w:numPr>
        <w:spacing w:after="50"/>
      </w:pPr>
      <w:r>
        <w:t xml:space="preserve">Resort covers chef, all meals, transport, and amenities — you deliver an international, all-inclusive experience with a fraction of the production work.</w:t>
      </w:r>
    </w:p>
    <w:p>
      <w:pPr>
        <w:pStyle w:val="ListParagraph"/>
        <w:numPr>
          <w:ilvl w:val="0"/>
          <w:numId w:val="2"/>
        </w:numPr>
        <w:spacing w:after="50"/>
      </w:pPr>
      <w:r>
        <w:t xml:space="preserve">Best paired with a value-luxury buyout (Blue Osa or Synergy) to protect the ~$1,000/guest margin.</w:t>
      </w:r>
    </w:p>
    <w:p>
      <w:pPr>
        <w:pStyle w:val="Heading2"/>
      </w:pPr>
      <w:r>
        <w:t xml:space="preserve">Premium Week (6 days / 5 nights) — the elevation play</w:t>
      </w:r>
    </w:p>
    <w:p>
      <w:pPr>
        <w:pStyle w:val="ListParagraph"/>
        <w:numPr>
          <w:ilvl w:val="0"/>
          <w:numId w:val="2"/>
        </w:numPr>
        <w:spacing w:after="50"/>
      </w:pPr>
      <w:r>
        <w:t xml:space="preserve">Costa Rica’s norm is a Saturday-to-Saturday week; leaning in lets you charge ~$3,900–4,500 and position this as a transformational flagship.</w:t>
      </w:r>
    </w:p>
    <w:p>
      <w:pPr>
        <w:pStyle w:val="ListParagraph"/>
        <w:numPr>
          <w:ilvl w:val="0"/>
          <w:numId w:val="2"/>
        </w:numPr>
        <w:spacing w:after="50"/>
      </w:pPr>
      <w:r>
        <w:t xml:space="preserve">Fits Anamaya or Bodhi Tree, where the week-long rate and 5-star feel justify the ticket.</w:t>
      </w:r>
    </w:p>
    <w:p>
      <w:pPr>
        <w:pStyle w:val="ListParagraph"/>
        <w:numPr>
          <w:ilvl w:val="0"/>
          <w:numId w:val="2"/>
        </w:numPr>
        <w:spacing w:after="50"/>
      </w:pPr>
      <w:r>
        <w:t xml:space="preserve">Higher gross margin, but a bigger ask of each guest’s time and airfare — better as year two once the brand is proven abroad.</w:t>
      </w:r>
    </w:p>
    <w:p>
      <w:pPr>
        <w:pStyle w:val="Heading1"/>
      </w:pPr>
      <w:r>
        <w:t xml:space="preserve">Logistics &amp; Watch-Items</w:t>
      </w:r>
    </w:p>
    <w:p>
      <w:pPr>
        <w:pStyle w:val="ListParagraph"/>
        <w:numPr>
          <w:ilvl w:val="0"/>
          <w:numId w:val="2"/>
        </w:numPr>
        <w:spacing w:after="50"/>
      </w:pPr>
      <w:r>
        <w:rPr>
          <w:b/>
          <w:bCs/>
        </w:rPr>
        <w:t xml:space="preserve">Airfare is separate. </w:t>
      </w:r>
      <w:r>
        <w:t xml:space="preserve">Market the ticket as ‘all-inclusive on the ground’ and be explicit that flights are booked by each guest (~$400–700 from most US hubs into San José / Liberia).</w:t>
      </w:r>
    </w:p>
    <w:p>
      <w:pPr>
        <w:pStyle w:val="ListParagraph"/>
        <w:numPr>
          <w:ilvl w:val="0"/>
          <w:numId w:val="2"/>
        </w:numPr>
        <w:spacing w:after="50"/>
      </w:pPr>
      <w:r>
        <w:rPr>
          <w:b/>
          <w:bCs/>
        </w:rPr>
        <w:t xml:space="preserve">Passports required. </w:t>
      </w:r>
      <w:r>
        <w:t xml:space="preserve">Give guests a 6-month lead so passports are valid 6 months past travel; build it into onboarding.</w:t>
      </w:r>
    </w:p>
    <w:p>
      <w:pPr>
        <w:pStyle w:val="ListParagraph"/>
        <w:numPr>
          <w:ilvl w:val="0"/>
          <w:numId w:val="2"/>
        </w:numPr>
        <w:spacing w:after="50"/>
      </w:pPr>
      <w:r>
        <w:rPr>
          <w:b/>
          <w:bCs/>
        </w:rPr>
        <w:t xml:space="preserve">Week structure. </w:t>
      </w:r>
      <w:r>
        <w:t xml:space="preserve">Many centers run fixed Sat–Sat weeks — confirm whether a 3–4 night mid-week buyout is possible if you want the shorter signature format.</w:t>
      </w:r>
    </w:p>
    <w:p>
      <w:pPr>
        <w:pStyle w:val="ListParagraph"/>
        <w:numPr>
          <w:ilvl w:val="0"/>
          <w:numId w:val="2"/>
        </w:numPr>
        <w:spacing w:after="50"/>
      </w:pPr>
      <w:r>
        <w:rPr>
          <w:b/>
          <w:bCs/>
        </w:rPr>
        <w:t xml:space="preserve">Deposits. </w:t>
      </w:r>
      <w:r>
        <w:t xml:space="preserve">Expect ~$500/guest non-refundable deposits and a leader room requirement; the resort’s deposit schedule replaces your vendor-by-vendor cash flow.</w:t>
      </w:r>
    </w:p>
    <w:p>
      <w:pPr>
        <w:pStyle w:val="ListParagraph"/>
        <w:numPr>
          <w:ilvl w:val="0"/>
          <w:numId w:val="2"/>
        </w:numPr>
        <w:spacing w:after="50"/>
      </w:pPr>
      <w:r>
        <w:rPr>
          <w:b/>
          <w:bCs/>
        </w:rPr>
        <w:t xml:space="preserve">Alcohol is simpler. </w:t>
      </w:r>
      <w:r>
        <w:t xml:space="preserve">On an all-inclusive resort, bar/beverage service is theirs to license and staff — the Georgia BYOB compliance work largely disappears.</w:t>
      </w:r>
    </w:p>
    <w:p>
      <w:pPr>
        <w:pStyle w:val="ListParagraph"/>
        <w:numPr>
          <w:ilvl w:val="0"/>
          <w:numId w:val="2"/>
        </w:numPr>
        <w:spacing w:after="50"/>
      </w:pPr>
      <w:r>
        <w:rPr>
          <w:b/>
          <w:bCs/>
        </w:rPr>
        <w:t xml:space="preserve">Your fixed costs travel. </w:t>
      </w:r>
      <w:r>
        <w:t xml:space="preserve">Headliner and your own flights/lodging are the main line items you still carry; negotiate the headliner’s all-inclusive room into the buyout to keep it lean.</w:t>
      </w:r>
    </w:p>
    <w:p>
      <w:pPr>
        <w:pStyle w:val="Heading1"/>
      </w:pPr>
      <w:r>
        <w:t xml:space="preserve">Recommendation</w:t>
      </w:r>
    </w:p>
    <w:p>
      <w:pPr>
        <w:spacing w:after="120"/>
      </w:pPr>
      <w:r>
        <w:t xml:space="preserve">Price out a 4-day signature buyout at Blue Osa and Synergy first — both host 24 comfortably, bundle chef and meals, and should hold your $2,500 ticket with ~$24K gross margin across the group. Keep Anamaya and Bodhi Tree in your pocket for a premium-week version if you decide to elevate. Want me to draft the buyout-inquiry email to all four and build a side-by-side quote tracker so you can compare apples to apples as numbers come back?</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550"/>
        <w:sz w:val="15"/>
        <w:szCs w:val="15"/>
      </w:rPr>
      <w:t xml:space="preserve">The Sacred Experience — Costa Rica Options &amp; Pricing · Private &amp; Confidential · Page </w:t>
    </w:r>
    <w:r>
      <w:rPr>
        <w:color w:val="4A455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0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41019"/>
      <w:sz w:val="29"/>
      <w:szCs w:val="29"/>
    </w:rPr>
  </w:style>
  <w:style w:type="paragraph" w:styleId="Heading2">
    <w:name w:val="Heading 2"/>
    <w:basedOn w:val="Normal"/>
    <w:next w:val="Normal"/>
    <w:qFormat/>
    <w:pPr>
      <w:spacing w:after="90" w:before="200"/>
      <w:outlineLvl w:val="1"/>
    </w:pPr>
    <w:rPr>
      <w:rFonts w:ascii="Arial" w:cs="Arial" w:eastAsia="Arial" w:hAnsi="Arial"/>
      <w:b/>
      <w:bCs/>
      <w:color w:val="6B4E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2026-07-07T10:39:21.971Z</dcterms:created>
  <dcterms:modified xsi:type="dcterms:W3CDTF">2026-07-07T10:39:21.973Z</dcterms:modified>
</cp:coreProperties>
</file>

<file path=docProps/custom.xml><?xml version="1.0" encoding="utf-8"?>
<Properties xmlns="http://schemas.openxmlformats.org/officeDocument/2006/custom-properties" xmlns:vt="http://schemas.openxmlformats.org/officeDocument/2006/docPropsVTypes"/>
</file>