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
        <w:jc w:val="center"/>
      </w:pPr>
      <w:r>
        <w:rPr>
          <w:b/>
          <w:bCs/>
          <w:caps/>
          <w:color w:val="B8860B"/>
          <w:sz w:val="22"/>
          <w:szCs w:val="22"/>
        </w:rPr>
        <w:t xml:space="preserve">THE SACRED REBIRTH EXPERIENCE</w:t>
      </w:r>
    </w:p>
    <w:p>
      <w:pPr>
        <w:spacing w:after="18"/>
        <w:jc w:val="center"/>
      </w:pPr>
      <w:r>
        <w:rPr>
          <w:b/>
          <w:bCs/>
          <w:color w:val="141019"/>
          <w:sz w:val="32"/>
          <w:szCs w:val="32"/>
        </w:rPr>
        <w:t xml:space="preserve">Villa Tuscany — Río Grande, Puerto Rico</w:t>
      </w:r>
    </w:p>
    <w:p>
      <w:pPr>
        <w:spacing w:after="140"/>
        <w:jc w:val="center"/>
      </w:pPr>
      <w:r>
        <w:rPr>
          <w:i/>
          <w:iCs/>
          <w:color w:val="4A4550"/>
          <w:sz w:val="18"/>
          <w:szCs w:val="18"/>
        </w:rPr>
        <w:t xml:space="preserve">Full profile · real package pricing · budget model for 20–24 women</w:t>
      </w:r>
    </w:p>
    <w:p>
      <w:pPr>
        <w:pBdr>
          <w:bottom w:val="single" w:color="B8860B" w:sz="6" w:space="1"/>
        </w:pBdr>
        <w:spacing w:after="120" w:before="60"/>
      </w:pPr>
    </w:p>
    <w:p>
      <w:pPr>
        <w:pStyle w:val="Heading1"/>
      </w:pPr>
      <w:r>
        <w:t xml:space="preserve">Snapshot</w:t>
      </w:r>
    </w:p>
    <w:p>
      <w:pPr>
        <w:spacing w:after="100"/>
      </w:pPr>
      <w:r>
        <w:t xml:space="preserve">A three-level private mansion inside the beachfront Wyndham Grand Río Mar resort on Puerto Rico's northeast coast, backed by the El Yunque rainforest. Ten bedrooms across three levels, central air conditioning throughout, an infinity pool, and panoramic ocean views — held exclusively for one group. It solves both Blue Osa dealbreakers: </w:t>
      </w:r>
      <w:r>
        <w:rPr>
          <w:b/>
          <w:bCs/>
        </w:rPr>
        <w:t xml:space="preserve">full central AC, and ~40 minutes from San Juan with no passport required.</w:t>
      </w:r>
      <w:r>
        <w:t xml:space="preserve"> Booked as an all-inclusive retreat (villa + chef + all food + staff) through Caribbean Luxury Rentals, with a 4-night minimum.</w:t>
      </w:r>
    </w:p>
    <w:p>
      <w:pPr>
        <w:pStyle w:val="Heading1"/>
      </w:pPr>
      <w:r>
        <w:t xml:space="preserve">Everything Villa Tuscany Offers</w:t>
      </w:r>
    </w:p>
    <w:p>
      <w:pPr>
        <w:pStyle w:val="Heading2"/>
      </w:pPr>
      <w:r>
        <w:t xml:space="preserve">Setting</w:t>
      </w:r>
    </w:p>
    <w:p>
      <w:pPr>
        <w:pStyle w:val="ListParagraph"/>
        <w:numPr>
          <w:ilvl w:val="0"/>
          <w:numId w:val="2"/>
        </w:numPr>
        <w:spacing w:after="44"/>
      </w:pPr>
      <w:r>
        <w:t xml:space="preserve">Inside the gated, beachfront Wyndham Grand Río Mar resort community, Río Grande — NE coast, ~40 min from San Juan (SJU)</w:t>
      </w:r>
    </w:p>
    <w:p>
      <w:pPr>
        <w:pStyle w:val="ListParagraph"/>
        <w:numPr>
          <w:ilvl w:val="0"/>
          <w:numId w:val="2"/>
        </w:numPr>
        <w:spacing w:after="44"/>
      </w:pPr>
      <w:r>
        <w:t xml:space="preserve">Backed by El Yunque — the only tropical rainforest in the US National Forest system (a powerful natural anchor for a rebirth ritual)</w:t>
      </w:r>
    </w:p>
    <w:p>
      <w:pPr>
        <w:pStyle w:val="ListParagraph"/>
        <w:numPr>
          <w:ilvl w:val="0"/>
          <w:numId w:val="2"/>
        </w:numPr>
        <w:spacing w:after="44"/>
      </w:pPr>
      <w:r>
        <w:t xml:space="preserve">Panoramic ocean views from the mansion; beach access within the resort</w:t>
      </w:r>
    </w:p>
    <w:p>
      <w:pPr>
        <w:pStyle w:val="Heading2"/>
      </w:pPr>
      <w:r>
        <w:t xml:space="preserve">The Villa</w:t>
      </w:r>
    </w:p>
    <w:p>
      <w:pPr>
        <w:pStyle w:val="ListParagraph"/>
        <w:numPr>
          <w:ilvl w:val="0"/>
          <w:numId w:val="2"/>
        </w:numPr>
        <w:spacing w:after="44"/>
      </w:pPr>
      <w:r>
        <w:t xml:space="preserve">Three levels, 10 bedrooms / 9 bathrooms, capacity 22+; central air conditioning throughout</w:t>
      </w:r>
    </w:p>
    <w:p>
      <w:pPr>
        <w:pStyle w:val="ListParagraph"/>
        <w:numPr>
          <w:ilvl w:val="0"/>
          <w:numId w:val="2"/>
        </w:numPr>
        <w:spacing w:after="44"/>
      </w:pPr>
      <w:r>
        <w:t xml:space="preserve">Infinity pool, jacuzzi, poolside bar with 3 TVs, gazebo, hammocks, 15 lounge chairs</w:t>
      </w:r>
    </w:p>
    <w:p>
      <w:pPr>
        <w:pStyle w:val="ListParagraph"/>
        <w:numPr>
          <w:ilvl w:val="0"/>
          <w:numId w:val="2"/>
        </w:numPr>
        <w:spacing w:after="44"/>
      </w:pPr>
      <w:r>
        <w:t xml:space="preserve">Elegant kitchen (Brazilian rosewood, granite, stainless); formal dining + terrace dining; cathedral-ceiling living room</w:t>
      </w:r>
    </w:p>
    <w:p>
      <w:pPr>
        <w:pStyle w:val="ListParagraph"/>
        <w:numPr>
          <w:ilvl w:val="0"/>
          <w:numId w:val="2"/>
        </w:numPr>
        <w:spacing w:after="44"/>
      </w:pPr>
      <w:r>
        <w:t xml:space="preserve">Master suite with private terrace, balcony hammock, and jacuzzi tub; several en-suite rooms with jetted tubs and bidets</w:t>
      </w:r>
    </w:p>
    <w:p>
      <w:pPr>
        <w:pStyle w:val="ListParagraph"/>
        <w:numPr>
          <w:ilvl w:val="0"/>
          <w:numId w:val="2"/>
        </w:numPr>
        <w:spacing w:after="44"/>
      </w:pPr>
      <w:r>
        <w:t xml:space="preserve">WiFi and cable throughout; ping-pong and pool tables; laundry rooms on multiple floors</w:t>
      </w:r>
    </w:p>
    <w:p>
      <w:pPr>
        <w:pStyle w:val="Heading2"/>
      </w:pPr>
      <w:r>
        <w:t xml:space="preserve">Included in the All-Inclusive Retreat Package</w:t>
      </w:r>
    </w:p>
    <w:p>
      <w:pPr>
        <w:pStyle w:val="ListParagraph"/>
        <w:numPr>
          <w:ilvl w:val="0"/>
          <w:numId w:val="2"/>
        </w:numPr>
        <w:spacing w:after="44"/>
      </w:pPr>
      <w:r>
        <w:t xml:space="preserve">Private, exclusive use of Villa Tuscany</w:t>
      </w:r>
    </w:p>
    <w:p>
      <w:pPr>
        <w:pStyle w:val="ListParagraph"/>
        <w:numPr>
          <w:ilvl w:val="0"/>
          <w:numId w:val="2"/>
        </w:numPr>
        <w:spacing w:after="44"/>
      </w:pPr>
      <w:r>
        <w:t xml:space="preserve">Private chef + sous chef/waiter, and the cost of food (all meals) — beverages not included except unlimited drinking water</w:t>
      </w:r>
    </w:p>
    <w:p>
      <w:pPr>
        <w:pStyle w:val="ListParagraph"/>
        <w:numPr>
          <w:ilvl w:val="0"/>
          <w:numId w:val="2"/>
        </w:numPr>
        <w:spacing w:after="44"/>
      </w:pPr>
      <w:r>
        <w:t xml:space="preserve">Daily housekeeping + check-out cleaning</w:t>
      </w:r>
    </w:p>
    <w:p>
      <w:pPr>
        <w:pStyle w:val="ListParagraph"/>
        <w:numPr>
          <w:ilvl w:val="0"/>
          <w:numId w:val="2"/>
        </w:numPr>
        <w:spacing w:after="44"/>
      </w:pPr>
      <w:r>
        <w:t xml:space="preserve">Four golf carts (all-inclusive package); retreat-planning support; unlimited drinking water</w:t>
      </w:r>
    </w:p>
    <w:p>
      <w:pPr>
        <w:pStyle w:val="ListParagraph"/>
        <w:numPr>
          <w:ilvl w:val="0"/>
          <w:numId w:val="2"/>
        </w:numPr>
        <w:spacing w:after="44"/>
      </w:pPr>
      <w:r>
        <w:t xml:space="preserve">All tourist taxes and fees</w:t>
      </w:r>
    </w:p>
    <w:p>
      <w:pPr>
        <w:pStyle w:val="Heading2"/>
      </w:pPr>
      <w:r>
        <w:t xml:space="preserve">Resort Amenities (on property)</w:t>
      </w:r>
    </w:p>
    <w:p>
      <w:pPr>
        <w:pStyle w:val="ListParagraph"/>
        <w:numPr>
          <w:ilvl w:val="0"/>
          <w:numId w:val="2"/>
        </w:numPr>
        <w:spacing w:after="44"/>
      </w:pPr>
      <w:r>
        <w:t xml:space="preserve">Two 18-hole golf courses, 11 clay + 2 hard tennis courts, 6 pickleball courts</w:t>
      </w:r>
    </w:p>
    <w:p>
      <w:pPr>
        <w:pStyle w:val="ListParagraph"/>
        <w:numPr>
          <w:ilvl w:val="0"/>
          <w:numId w:val="2"/>
        </w:numPr>
        <w:spacing w:after="44"/>
      </w:pPr>
      <w:r>
        <w:t xml:space="preserve">Redesigned casino and spa, multiple restaurants and bars, oceanfront Margaritaville bar &amp; grill, new speakeasy cabaret, beach</w:t>
      </w:r>
    </w:p>
    <w:p>
      <w:pPr>
        <w:pStyle w:val="Heading2"/>
      </w:pPr>
      <w:r>
        <w:t xml:space="preserve">Optional Add-Ons (coordinated by CLR)</w:t>
      </w:r>
    </w:p>
    <w:p>
      <w:pPr>
        <w:pStyle w:val="ListParagraph"/>
        <w:numPr>
          <w:ilvl w:val="0"/>
          <w:numId w:val="2"/>
        </w:numPr>
        <w:spacing w:after="44"/>
      </w:pPr>
      <w:r>
        <w:t xml:space="preserve">Wellness programming — massage, yoga, Pilates, spa coordination (your bodywork layer)</w:t>
      </w:r>
    </w:p>
    <w:p>
      <w:pPr>
        <w:pStyle w:val="ListParagraph"/>
        <w:numPr>
          <w:ilvl w:val="0"/>
          <w:numId w:val="2"/>
        </w:numPr>
        <w:spacing w:after="44"/>
      </w:pPr>
      <w:r>
        <w:t xml:space="preserve">Bartender + drinks (~$200/hr), live local music (~$850/hr), canapés — beverages/alcohol run as paid add-ons</w:t>
      </w:r>
    </w:p>
    <w:p>
      <w:pPr>
        <w:pStyle w:val="ListParagraph"/>
        <w:numPr>
          <w:ilvl w:val="0"/>
          <w:numId w:val="2"/>
        </w:numPr>
        <w:spacing w:after="44"/>
      </w:pPr>
      <w:r>
        <w:t xml:space="preserve">Puerto Rican Night (from ~$2,850): chef buffet, live music, salsa instructor, rum bar + bartender</w:t>
      </w:r>
    </w:p>
    <w:p>
      <w:pPr>
        <w:pStyle w:val="ListParagraph"/>
        <w:numPr>
          <w:ilvl w:val="0"/>
          <w:numId w:val="2"/>
        </w:numPr>
        <w:spacing w:after="44"/>
      </w:pPr>
      <w:r>
        <w:t xml:space="preserve">Top Excursions package (~$8,500 / up to 14): private catamaran to nearby islands, El Yunque hike, zip-line, bioluminescent-bay kayak</w:t>
      </w:r>
    </w:p>
    <w:p>
      <w:pPr>
        <w:pStyle w:val="ListParagraph"/>
        <w:numPr>
          <w:ilvl w:val="0"/>
          <w:numId w:val="2"/>
        </w:numPr>
        <w:spacing w:after="44"/>
      </w:pPr>
      <w:r>
        <w:t xml:space="preserve">Grocery pre-stocking, additional golf carts, and airport transportation</w:t>
      </w:r>
    </w:p>
    <w:p>
      <w:r>
        <w:br w:type="page"/>
      </w:r>
    </w:p>
    <w:p>
      <w:pPr>
        <w:pStyle w:val="Heading1"/>
      </w:pPr>
      <w:r>
        <w:t xml:space="preserve">Real Package Pricing (published, up to 14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2E3" w:sz="1"/>
              <w:left w:val="single" w:color="D9D2E3" w:sz="1"/>
              <w:bottom w:val="single" w:color="D9D2E3" w:sz="1"/>
              <w:right w:val="single" w:color="D9D2E3" w:sz="1"/>
            </w:tcBorders>
            <w:shd w:fill="1E1730" w:val="clear"/>
            <w:tcMar>
              <w:top w:type="dxa" w:w="70"/>
              <w:left w:type="dxa" w:w="100"/>
              <w:bottom w:type="dxa" w:w="70"/>
              <w:right w:type="dxa" w:w="100"/>
            </w:tcMar>
            <w:vAlign w:val="center"/>
          </w:tcPr>
          <w:p>
            <w:r>
              <w:rPr>
                <w:b/>
                <w:bCs/>
                <w:color w:val="FFFFFF"/>
                <w:sz w:val="17"/>
                <w:szCs w:val="17"/>
              </w:rPr>
              <w:t xml:space="preserve">Length (up to 14 guests)</w:t>
            </w:r>
          </w:p>
        </w:tc>
        <w:tc>
          <w:tcPr>
            <w:tcW w:type="dxa" w:w="3120"/>
            <w:tcBorders>
              <w:top w:val="single" w:color="D9D2E3" w:sz="1"/>
              <w:left w:val="single" w:color="D9D2E3" w:sz="1"/>
              <w:bottom w:val="single" w:color="D9D2E3" w:sz="1"/>
              <w:right w:val="single" w:color="D9D2E3" w:sz="1"/>
            </w:tcBorders>
            <w:shd w:fill="1E1730" w:val="clear"/>
            <w:tcMar>
              <w:top w:type="dxa" w:w="70"/>
              <w:left w:type="dxa" w:w="100"/>
              <w:bottom w:type="dxa" w:w="70"/>
              <w:right w:type="dxa" w:w="100"/>
            </w:tcMar>
            <w:vAlign w:val="center"/>
          </w:tcPr>
          <w:p>
            <w:r>
              <w:rPr>
                <w:b/>
                <w:bCs/>
                <w:color w:val="FFFFFF"/>
                <w:sz w:val="17"/>
                <w:szCs w:val="17"/>
              </w:rPr>
              <w:t xml:space="preserve">All-inclusive package</w:t>
            </w:r>
          </w:p>
        </w:tc>
        <w:tc>
          <w:tcPr>
            <w:tcW w:type="dxa" w:w="3120"/>
            <w:tcBorders>
              <w:top w:val="single" w:color="D9D2E3" w:sz="1"/>
              <w:left w:val="single" w:color="D9D2E3" w:sz="1"/>
              <w:bottom w:val="single" w:color="D9D2E3" w:sz="1"/>
              <w:right w:val="single" w:color="D9D2E3" w:sz="1"/>
            </w:tcBorders>
            <w:shd w:fill="1E1730" w:val="clear"/>
            <w:tcMar>
              <w:top w:type="dxa" w:w="70"/>
              <w:left w:type="dxa" w:w="100"/>
              <w:bottom w:type="dxa" w:w="70"/>
              <w:right w:type="dxa" w:w="100"/>
            </w:tcMar>
            <w:vAlign w:val="center"/>
          </w:tcPr>
          <w:p>
            <w:r>
              <w:rPr>
                <w:b/>
                <w:bCs/>
                <w:color w:val="FFFFFF"/>
                <w:sz w:val="17"/>
                <w:szCs w:val="17"/>
              </w:rPr>
              <w:t xml:space="preserve">Note</w:t>
            </w:r>
          </w:p>
        </w:tc>
      </w:tr>
      <w:tr>
        <w:tc>
          <w:tcPr>
            <w:tcW w:type="dxa" w:w="312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b/>
                <w:bCs/>
                <w:sz w:val="18"/>
                <w:szCs w:val="18"/>
              </w:rPr>
              <w:t xml:space="preserve">4 nights</w:t>
            </w:r>
          </w:p>
        </w:tc>
        <w:tc>
          <w:tcPr>
            <w:tcW w:type="dxa" w:w="312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b/>
                <w:bCs/>
                <w:color w:val="0E7C7B"/>
                <w:sz w:val="18"/>
                <w:szCs w:val="18"/>
              </w:rPr>
              <w:t xml:space="preserve">$33,000</w:t>
            </w:r>
          </w:p>
        </w:tc>
        <w:tc>
          <w:tcPr>
            <w:tcW w:type="dxa" w:w="312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sz w:val="16"/>
                <w:szCs w:val="16"/>
              </w:rPr>
              <w:t xml:space="preserve">Villa minimum stay</w:t>
            </w:r>
          </w:p>
        </w:tc>
      </w:tr>
      <w:tr>
        <w:tc>
          <w:tcPr>
            <w:tcW w:type="dxa" w:w="312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top"/>
          </w:tcPr>
          <w:p>
            <w:r>
              <w:rPr>
                <w:b/>
                <w:bCs/>
                <w:sz w:val="18"/>
                <w:szCs w:val="18"/>
              </w:rPr>
              <w:t xml:space="preserve">5 nights</w:t>
            </w:r>
          </w:p>
        </w:tc>
        <w:tc>
          <w:tcPr>
            <w:tcW w:type="dxa" w:w="312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top"/>
          </w:tcPr>
          <w:p>
            <w:r>
              <w:rPr>
                <w:b/>
                <w:bCs/>
                <w:color w:val="0E7C7B"/>
                <w:sz w:val="18"/>
                <w:szCs w:val="18"/>
              </w:rPr>
              <w:t xml:space="preserve">$40,500</w:t>
            </w:r>
          </w:p>
        </w:tc>
        <w:tc>
          <w:tcPr>
            <w:tcW w:type="dxa" w:w="312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top"/>
          </w:tcPr>
          <w:p>
            <w:r>
              <w:t xml:space="preserve"/>
            </w:r>
          </w:p>
        </w:tc>
      </w:tr>
      <w:tr>
        <w:tc>
          <w:tcPr>
            <w:tcW w:type="dxa" w:w="312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b/>
                <w:bCs/>
                <w:sz w:val="18"/>
                <w:szCs w:val="18"/>
              </w:rPr>
              <w:t xml:space="preserve">6 nights</w:t>
            </w:r>
          </w:p>
        </w:tc>
        <w:tc>
          <w:tcPr>
            <w:tcW w:type="dxa" w:w="312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b/>
                <w:bCs/>
                <w:color w:val="0E7C7B"/>
                <w:sz w:val="18"/>
                <w:szCs w:val="18"/>
              </w:rPr>
              <w:t xml:space="preserve">$48,300</w:t>
            </w:r>
          </w:p>
        </w:tc>
        <w:tc>
          <w:tcPr>
            <w:tcW w:type="dxa" w:w="312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t xml:space="preserve"/>
            </w:r>
          </w:p>
        </w:tc>
      </w:tr>
      <w:tr>
        <w:tc>
          <w:tcPr>
            <w:tcW w:type="dxa" w:w="312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top"/>
          </w:tcPr>
          <w:p>
            <w:r>
              <w:rPr>
                <w:b/>
                <w:bCs/>
                <w:sz w:val="18"/>
                <w:szCs w:val="18"/>
              </w:rPr>
              <w:t xml:space="preserve">7 nights</w:t>
            </w:r>
          </w:p>
        </w:tc>
        <w:tc>
          <w:tcPr>
            <w:tcW w:type="dxa" w:w="312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top"/>
          </w:tcPr>
          <w:p>
            <w:r>
              <w:rPr>
                <w:b/>
                <w:bCs/>
                <w:color w:val="0E7C7B"/>
                <w:sz w:val="18"/>
                <w:szCs w:val="18"/>
              </w:rPr>
              <w:t xml:space="preserve">$56,000</w:t>
            </w:r>
          </w:p>
        </w:tc>
        <w:tc>
          <w:tcPr>
            <w:tcW w:type="dxa" w:w="312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top"/>
          </w:tcPr>
          <w:p>
            <w:r>
              <w:rPr>
                <w:sz w:val="16"/>
                <w:szCs w:val="16"/>
              </w:rPr>
              <w:t xml:space="preserve">+ Puerto Rican night, extras</w:t>
            </w:r>
          </w:p>
        </w:tc>
      </w:tr>
      <w:tr>
        <w:tc>
          <w:tcPr>
            <w:tcW w:type="dxa" w:w="312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b/>
                <w:bCs/>
                <w:sz w:val="18"/>
                <w:szCs w:val="18"/>
              </w:rPr>
              <w:t xml:space="preserve">Groups over 14</w:t>
            </w:r>
          </w:p>
        </w:tc>
        <w:tc>
          <w:tcPr>
            <w:tcW w:type="dxa" w:w="312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b/>
                <w:bCs/>
                <w:color w:val="9A2A2A"/>
                <w:sz w:val="18"/>
                <w:szCs w:val="18"/>
              </w:rPr>
              <w:t xml:space="preserve">Custom quote</w:t>
            </w:r>
          </w:p>
        </w:tc>
        <w:tc>
          <w:tcPr>
            <w:tcW w:type="dxa" w:w="312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sz w:val="16"/>
                <w:szCs w:val="16"/>
              </w:rPr>
              <w:t xml:space="preserve">Per-guest/day fee added</w:t>
            </w:r>
          </w:p>
        </w:tc>
      </w:tr>
    </w:tbl>
    <w:p>
      <w:pPr>
        <w:spacing w:before="80"/>
      </w:pPr>
      <w:r>
        <w:rPr>
          <w:i/>
          <w:iCs/>
          <w:color w:val="4A4550"/>
          <w:sz w:val="18"/>
          <w:szCs w:val="18"/>
        </w:rPr>
        <w:t xml:space="preserve">These are the actual published all-inclusive rates and they cover up to 14 guests. Your group of 20–24 needs a custom quote — the base holds, plus a per-guest, per-day fee for guests 15+ (food + lodging share). I've modeled that below with a conservative estimate; the real number comes from Caribbean Luxury Rentals.</w:t>
      </w:r>
    </w:p>
    <w:p>
      <w:pPr>
        <w:pStyle w:val="Heading1"/>
      </w:pPr>
      <w:r>
        <w:t xml:space="preserve">The Numbers for The Sacred Rebirth Experience</w:t>
      </w:r>
    </w:p>
    <w:p>
      <w:pPr>
        <w:spacing w:after="100"/>
      </w:pPr>
      <w:r>
        <w:t xml:space="preserve">Because the villa is booked as one all-inclusive package (lodging + chef + all food + staff already inside it), that single number is most of your cost. Here's the honest model at a 4-night retreat: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D9D2E3" w:sz="1"/>
              <w:left w:val="single" w:color="D9D2E3" w:sz="1"/>
              <w:bottom w:val="single" w:color="D9D2E3" w:sz="1"/>
              <w:right w:val="single" w:color="D9D2E3" w:sz="1"/>
            </w:tcBorders>
            <w:shd w:fill="1E1730" w:val="clear"/>
            <w:tcMar>
              <w:top w:type="dxa" w:w="70"/>
              <w:left w:type="dxa" w:w="100"/>
              <w:bottom w:type="dxa" w:w="70"/>
              <w:right w:type="dxa" w:w="100"/>
            </w:tcMar>
            <w:vAlign w:val="center"/>
          </w:tcPr>
          <w:p>
            <w:r>
              <w:rPr>
                <w:b/>
                <w:bCs/>
                <w:color w:val="FFFFFF"/>
                <w:sz w:val="17"/>
                <w:szCs w:val="17"/>
              </w:rPr>
              <w:t xml:space="preserve">4-night retreat</w:t>
            </w:r>
          </w:p>
        </w:tc>
        <w:tc>
          <w:tcPr>
            <w:tcW w:type="dxa" w:w="2100"/>
            <w:tcBorders>
              <w:top w:val="single" w:color="D9D2E3" w:sz="1"/>
              <w:left w:val="single" w:color="D9D2E3" w:sz="1"/>
              <w:bottom w:val="single" w:color="D9D2E3" w:sz="1"/>
              <w:right w:val="single" w:color="D9D2E3" w:sz="1"/>
            </w:tcBorders>
            <w:shd w:fill="1E1730" w:val="clear"/>
            <w:tcMar>
              <w:top w:type="dxa" w:w="70"/>
              <w:left w:type="dxa" w:w="100"/>
              <w:bottom w:type="dxa" w:w="70"/>
              <w:right w:type="dxa" w:w="100"/>
            </w:tcMar>
            <w:vAlign w:val="center"/>
          </w:tcPr>
          <w:p>
            <w:r>
              <w:rPr>
                <w:b/>
                <w:bCs/>
                <w:color w:val="FFFFFF"/>
                <w:sz w:val="17"/>
                <w:szCs w:val="17"/>
              </w:rPr>
              <w:t xml:space="preserve">20 @ $2,995</w:t>
            </w:r>
          </w:p>
        </w:tc>
        <w:tc>
          <w:tcPr>
            <w:tcW w:type="dxa" w:w="2100"/>
            <w:tcBorders>
              <w:top w:val="single" w:color="D9D2E3" w:sz="1"/>
              <w:left w:val="single" w:color="D9D2E3" w:sz="1"/>
              <w:bottom w:val="single" w:color="D9D2E3" w:sz="1"/>
              <w:right w:val="single" w:color="D9D2E3" w:sz="1"/>
            </w:tcBorders>
            <w:shd w:fill="1E1730" w:val="clear"/>
            <w:tcMar>
              <w:top w:type="dxa" w:w="70"/>
              <w:left w:type="dxa" w:w="100"/>
              <w:bottom w:type="dxa" w:w="70"/>
              <w:right w:type="dxa" w:w="100"/>
            </w:tcMar>
            <w:vAlign w:val="center"/>
          </w:tcPr>
          <w:p>
            <w:r>
              <w:rPr>
                <w:b/>
                <w:bCs/>
                <w:color w:val="FFFFFF"/>
                <w:sz w:val="17"/>
                <w:szCs w:val="17"/>
              </w:rPr>
              <w:t xml:space="preserve">20 @ $3,333</w:t>
            </w:r>
          </w:p>
        </w:tc>
        <w:tc>
          <w:tcPr>
            <w:tcW w:type="dxa" w:w="2100"/>
            <w:tcBorders>
              <w:top w:val="single" w:color="D9D2E3" w:sz="1"/>
              <w:left w:val="single" w:color="D9D2E3" w:sz="1"/>
              <w:bottom w:val="single" w:color="D9D2E3" w:sz="1"/>
              <w:right w:val="single" w:color="D9D2E3" w:sz="1"/>
            </w:tcBorders>
            <w:shd w:fill="1E1730" w:val="clear"/>
            <w:tcMar>
              <w:top w:type="dxa" w:w="70"/>
              <w:left w:type="dxa" w:w="100"/>
              <w:bottom w:type="dxa" w:w="70"/>
              <w:right w:type="dxa" w:w="100"/>
            </w:tcMar>
            <w:vAlign w:val="center"/>
          </w:tcPr>
          <w:p>
            <w:r>
              <w:rPr>
                <w:b/>
                <w:bCs/>
                <w:color w:val="FFFFFF"/>
                <w:sz w:val="17"/>
                <w:szCs w:val="17"/>
              </w:rPr>
              <w:t xml:space="preserve">24 @ $3,333</w:t>
            </w:r>
          </w:p>
        </w:tc>
      </w:tr>
      <w:tr>
        <w:tc>
          <w:tcPr>
            <w:tcW w:type="dxa" w:w="306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sz w:val="17"/>
                <w:szCs w:val="17"/>
              </w:rPr>
              <w:t xml:space="preserve">Ticket revenue</w:t>
            </w:r>
          </w:p>
        </w:tc>
        <w:tc>
          <w:tcPr>
            <w:tcW w:type="dxa" w:w="2100"/>
            <w:tcBorders>
              <w:top w:val="single" w:color="D9D2E3" w:sz="1"/>
              <w:left w:val="single" w:color="D9D2E3" w:sz="1"/>
              <w:bottom w:val="single" w:color="D9D2E3" w:sz="1"/>
              <w:right w:val="single" w:color="D9D2E3" w:sz="1"/>
            </w:tcBorders>
            <w:tcMar>
              <w:top w:type="dxa" w:w="70"/>
              <w:left w:type="dxa" w:w="100"/>
              <w:bottom w:type="dxa" w:w="70"/>
              <w:right w:type="dxa" w:w="100"/>
            </w:tcMar>
            <w:vAlign w:val="center"/>
          </w:tcPr>
          <w:p>
            <w:r>
              <w:rPr>
                <w:sz w:val="17"/>
                <w:szCs w:val="17"/>
              </w:rPr>
              <w:t xml:space="preserve">$59,900</w:t>
            </w:r>
          </w:p>
        </w:tc>
        <w:tc>
          <w:tcPr>
            <w:tcW w:type="dxa" w:w="2100"/>
            <w:tcBorders>
              <w:top w:val="single" w:color="D9D2E3" w:sz="1"/>
              <w:left w:val="single" w:color="D9D2E3" w:sz="1"/>
              <w:bottom w:val="single" w:color="D9D2E3" w:sz="1"/>
              <w:right w:val="single" w:color="D9D2E3" w:sz="1"/>
            </w:tcBorders>
            <w:tcMar>
              <w:top w:type="dxa" w:w="70"/>
              <w:left w:type="dxa" w:w="100"/>
              <w:bottom w:type="dxa" w:w="70"/>
              <w:right w:type="dxa" w:w="100"/>
            </w:tcMar>
            <w:vAlign w:val="center"/>
          </w:tcPr>
          <w:p>
            <w:r>
              <w:rPr>
                <w:sz w:val="17"/>
                <w:szCs w:val="17"/>
              </w:rPr>
              <w:t xml:space="preserve">$66,660</w:t>
            </w:r>
          </w:p>
        </w:tc>
        <w:tc>
          <w:tcPr>
            <w:tcW w:type="dxa" w:w="2100"/>
            <w:tcBorders>
              <w:top w:val="single" w:color="D9D2E3" w:sz="1"/>
              <w:left w:val="single" w:color="D9D2E3" w:sz="1"/>
              <w:bottom w:val="single" w:color="D9D2E3" w:sz="1"/>
              <w:right w:val="single" w:color="D9D2E3" w:sz="1"/>
            </w:tcBorders>
            <w:tcMar>
              <w:top w:type="dxa" w:w="70"/>
              <w:left w:type="dxa" w:w="100"/>
              <w:bottom w:type="dxa" w:w="70"/>
              <w:right w:type="dxa" w:w="100"/>
            </w:tcMar>
            <w:vAlign w:val="center"/>
          </w:tcPr>
          <w:p>
            <w:r>
              <w:rPr>
                <w:sz w:val="17"/>
                <w:szCs w:val="17"/>
              </w:rPr>
              <w:t xml:space="preserve">$79,992</w:t>
            </w:r>
          </w:p>
        </w:tc>
      </w:tr>
      <w:tr>
        <w:tc>
          <w:tcPr>
            <w:tcW w:type="dxa" w:w="306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sz w:val="17"/>
                <w:szCs w:val="17"/>
              </w:rPr>
              <w:t xml:space="preserve">Resort all-in (villa+chef+food+staff)</w:t>
            </w:r>
          </w:p>
        </w:tc>
        <w:tc>
          <w:tcPr>
            <w:tcW w:type="dxa" w:w="2100"/>
            <w:tcBorders>
              <w:top w:val="single" w:color="D9D2E3" w:sz="1"/>
              <w:left w:val="single" w:color="D9D2E3" w:sz="1"/>
              <w:bottom w:val="single" w:color="D9D2E3" w:sz="1"/>
              <w:right w:val="single" w:color="D9D2E3" w:sz="1"/>
            </w:tcBorders>
            <w:tcMar>
              <w:top w:type="dxa" w:w="70"/>
              <w:left w:type="dxa" w:w="100"/>
              <w:bottom w:type="dxa" w:w="70"/>
              <w:right w:type="dxa" w:w="100"/>
            </w:tcMar>
            <w:vAlign w:val="center"/>
          </w:tcPr>
          <w:p>
            <w:r>
              <w:rPr>
                <w:sz w:val="17"/>
                <w:szCs w:val="17"/>
              </w:rPr>
              <w:t xml:space="preserve">~$37,000</w:t>
            </w:r>
          </w:p>
        </w:tc>
        <w:tc>
          <w:tcPr>
            <w:tcW w:type="dxa" w:w="2100"/>
            <w:tcBorders>
              <w:top w:val="single" w:color="D9D2E3" w:sz="1"/>
              <w:left w:val="single" w:color="D9D2E3" w:sz="1"/>
              <w:bottom w:val="single" w:color="D9D2E3" w:sz="1"/>
              <w:right w:val="single" w:color="D9D2E3" w:sz="1"/>
            </w:tcBorders>
            <w:tcMar>
              <w:top w:type="dxa" w:w="70"/>
              <w:left w:type="dxa" w:w="100"/>
              <w:bottom w:type="dxa" w:w="70"/>
              <w:right w:type="dxa" w:w="100"/>
            </w:tcMar>
            <w:vAlign w:val="center"/>
          </w:tcPr>
          <w:p>
            <w:r>
              <w:rPr>
                <w:sz w:val="17"/>
                <w:szCs w:val="17"/>
              </w:rPr>
              <w:t xml:space="preserve">~$37,000</w:t>
            </w:r>
          </w:p>
        </w:tc>
        <w:tc>
          <w:tcPr>
            <w:tcW w:type="dxa" w:w="2100"/>
            <w:tcBorders>
              <w:top w:val="single" w:color="D9D2E3" w:sz="1"/>
              <w:left w:val="single" w:color="D9D2E3" w:sz="1"/>
              <w:bottom w:val="single" w:color="D9D2E3" w:sz="1"/>
              <w:right w:val="single" w:color="D9D2E3" w:sz="1"/>
            </w:tcBorders>
            <w:tcMar>
              <w:top w:type="dxa" w:w="70"/>
              <w:left w:type="dxa" w:w="100"/>
              <w:bottom w:type="dxa" w:w="70"/>
              <w:right w:type="dxa" w:w="100"/>
            </w:tcMar>
            <w:vAlign w:val="center"/>
          </w:tcPr>
          <w:p>
            <w:r>
              <w:rPr>
                <w:sz w:val="17"/>
                <w:szCs w:val="17"/>
              </w:rPr>
              <w:t xml:space="preserve">~$40,000</w:t>
            </w:r>
          </w:p>
        </w:tc>
      </w:tr>
      <w:tr>
        <w:tc>
          <w:tcPr>
            <w:tcW w:type="dxa" w:w="3060"/>
            <w:tcBorders>
              <w:top w:val="single" w:color="D9D2E3" w:sz="1"/>
              <w:left w:val="single" w:color="D9D2E3" w:sz="1"/>
              <w:bottom w:val="single" w:color="D9D2E3" w:sz="1"/>
              <w:right w:val="single" w:color="D9D2E3" w:sz="1"/>
            </w:tcBorders>
            <w:tcMar>
              <w:top w:type="dxa" w:w="70"/>
              <w:left w:type="dxa" w:w="100"/>
              <w:bottom w:type="dxa" w:w="70"/>
              <w:right w:type="dxa" w:w="100"/>
            </w:tcMar>
            <w:vAlign w:val="top"/>
          </w:tcPr>
          <w:p>
            <w:r>
              <w:rPr>
                <w:sz w:val="17"/>
                <w:szCs w:val="17"/>
              </w:rPr>
              <w:t xml:space="preserve">Your program layer*</w:t>
            </w:r>
          </w:p>
        </w:tc>
        <w:tc>
          <w:tcPr>
            <w:tcW w:type="dxa" w:w="2100"/>
            <w:tcBorders>
              <w:top w:val="single" w:color="D9D2E3" w:sz="1"/>
              <w:left w:val="single" w:color="D9D2E3" w:sz="1"/>
              <w:bottom w:val="single" w:color="D9D2E3" w:sz="1"/>
              <w:right w:val="single" w:color="D9D2E3" w:sz="1"/>
            </w:tcBorders>
            <w:tcMar>
              <w:top w:type="dxa" w:w="70"/>
              <w:left w:type="dxa" w:w="100"/>
              <w:bottom w:type="dxa" w:w="70"/>
              <w:right w:type="dxa" w:w="100"/>
            </w:tcMar>
            <w:vAlign w:val="center"/>
          </w:tcPr>
          <w:p>
            <w:r>
              <w:rPr>
                <w:sz w:val="17"/>
                <w:szCs w:val="17"/>
              </w:rPr>
              <w:t xml:space="preserve">~$13,750</w:t>
            </w:r>
          </w:p>
        </w:tc>
        <w:tc>
          <w:tcPr>
            <w:tcW w:type="dxa" w:w="2100"/>
            <w:tcBorders>
              <w:top w:val="single" w:color="D9D2E3" w:sz="1"/>
              <w:left w:val="single" w:color="D9D2E3" w:sz="1"/>
              <w:bottom w:val="single" w:color="D9D2E3" w:sz="1"/>
              <w:right w:val="single" w:color="D9D2E3" w:sz="1"/>
            </w:tcBorders>
            <w:tcMar>
              <w:top w:type="dxa" w:w="70"/>
              <w:left w:type="dxa" w:w="100"/>
              <w:bottom w:type="dxa" w:w="70"/>
              <w:right w:type="dxa" w:w="100"/>
            </w:tcMar>
            <w:vAlign w:val="center"/>
          </w:tcPr>
          <w:p>
            <w:r>
              <w:rPr>
                <w:sz w:val="17"/>
                <w:szCs w:val="17"/>
              </w:rPr>
              <w:t xml:space="preserve">~$13,750</w:t>
            </w:r>
          </w:p>
        </w:tc>
        <w:tc>
          <w:tcPr>
            <w:tcW w:type="dxa" w:w="2100"/>
            <w:tcBorders>
              <w:top w:val="single" w:color="D9D2E3" w:sz="1"/>
              <w:left w:val="single" w:color="D9D2E3" w:sz="1"/>
              <w:bottom w:val="single" w:color="D9D2E3" w:sz="1"/>
              <w:right w:val="single" w:color="D9D2E3" w:sz="1"/>
            </w:tcBorders>
            <w:tcMar>
              <w:top w:type="dxa" w:w="70"/>
              <w:left w:type="dxa" w:w="100"/>
              <w:bottom w:type="dxa" w:w="70"/>
              <w:right w:type="dxa" w:w="100"/>
            </w:tcMar>
            <w:vAlign w:val="center"/>
          </w:tcPr>
          <w:p>
            <w:r>
              <w:rPr>
                <w:sz w:val="17"/>
                <w:szCs w:val="17"/>
              </w:rPr>
              <w:t xml:space="preserve">~$15,000</w:t>
            </w:r>
          </w:p>
        </w:tc>
      </w:tr>
      <w:tr>
        <w:tc>
          <w:tcPr>
            <w:tcW w:type="dxa" w:w="3060"/>
            <w:tcBorders>
              <w:top w:val="single" w:color="D9D2E3" w:sz="1"/>
              <w:left w:val="single" w:color="D9D2E3" w:sz="1"/>
              <w:bottom w:val="single" w:color="D9D2E3" w:sz="1"/>
              <w:right w:val="single" w:color="D9D2E3" w:sz="1"/>
            </w:tcBorders>
            <w:shd w:fill="EFE7DA" w:val="clear"/>
            <w:tcMar>
              <w:top w:type="dxa" w:w="70"/>
              <w:left w:type="dxa" w:w="100"/>
              <w:bottom w:type="dxa" w:w="70"/>
              <w:right w:type="dxa" w:w="100"/>
            </w:tcMar>
            <w:vAlign w:val="top"/>
          </w:tcPr>
          <w:p>
            <w:r>
              <w:rPr>
                <w:b/>
                <w:bCs/>
                <w:sz w:val="17"/>
                <w:szCs w:val="17"/>
              </w:rPr>
              <w:t xml:space="preserve">Net profit</w:t>
            </w:r>
          </w:p>
        </w:tc>
        <w:tc>
          <w:tcPr>
            <w:tcW w:type="dxa" w:w="2100"/>
            <w:tcBorders>
              <w:top w:val="single" w:color="D9D2E3" w:sz="1"/>
              <w:left w:val="single" w:color="D9D2E3" w:sz="1"/>
              <w:bottom w:val="single" w:color="D9D2E3" w:sz="1"/>
              <w:right w:val="single" w:color="D9D2E3" w:sz="1"/>
            </w:tcBorders>
            <w:shd w:fill="EFE7DA" w:val="clear"/>
            <w:tcMar>
              <w:top w:type="dxa" w:w="70"/>
              <w:left w:type="dxa" w:w="100"/>
              <w:bottom w:type="dxa" w:w="70"/>
              <w:right w:type="dxa" w:w="100"/>
            </w:tcMar>
            <w:vAlign w:val="center"/>
          </w:tcPr>
          <w:p>
            <w:r>
              <w:rPr>
                <w:b/>
                <w:bCs/>
                <w:color w:val="1E7A4C"/>
                <w:sz w:val="17"/>
                <w:szCs w:val="17"/>
              </w:rPr>
              <w:t xml:space="preserve">~$9,150</w:t>
            </w:r>
          </w:p>
        </w:tc>
        <w:tc>
          <w:tcPr>
            <w:tcW w:type="dxa" w:w="2100"/>
            <w:tcBorders>
              <w:top w:val="single" w:color="D9D2E3" w:sz="1"/>
              <w:left w:val="single" w:color="D9D2E3" w:sz="1"/>
              <w:bottom w:val="single" w:color="D9D2E3" w:sz="1"/>
              <w:right w:val="single" w:color="D9D2E3" w:sz="1"/>
            </w:tcBorders>
            <w:shd w:fill="EFE7DA" w:val="clear"/>
            <w:tcMar>
              <w:top w:type="dxa" w:w="70"/>
              <w:left w:type="dxa" w:w="100"/>
              <w:bottom w:type="dxa" w:w="70"/>
              <w:right w:type="dxa" w:w="100"/>
            </w:tcMar>
            <w:vAlign w:val="center"/>
          </w:tcPr>
          <w:p>
            <w:r>
              <w:rPr>
                <w:b/>
                <w:bCs/>
                <w:color w:val="1E7A4C"/>
                <w:sz w:val="17"/>
                <w:szCs w:val="17"/>
              </w:rPr>
              <w:t xml:space="preserve">~$15,900</w:t>
            </w:r>
          </w:p>
        </w:tc>
        <w:tc>
          <w:tcPr>
            <w:tcW w:type="dxa" w:w="2100"/>
            <w:tcBorders>
              <w:top w:val="single" w:color="D9D2E3" w:sz="1"/>
              <w:left w:val="single" w:color="D9D2E3" w:sz="1"/>
              <w:bottom w:val="single" w:color="D9D2E3" w:sz="1"/>
              <w:right w:val="single" w:color="D9D2E3" w:sz="1"/>
            </w:tcBorders>
            <w:shd w:fill="EFE7DA" w:val="clear"/>
            <w:tcMar>
              <w:top w:type="dxa" w:w="70"/>
              <w:left w:type="dxa" w:w="100"/>
              <w:bottom w:type="dxa" w:w="70"/>
              <w:right w:type="dxa" w:w="100"/>
            </w:tcMar>
            <w:vAlign w:val="center"/>
          </w:tcPr>
          <w:p>
            <w:r>
              <w:rPr>
                <w:b/>
                <w:bCs/>
                <w:color w:val="1E7A4C"/>
                <w:sz w:val="17"/>
                <w:szCs w:val="17"/>
              </w:rPr>
              <w:t xml:space="preserve">~$25,000</w:t>
            </w:r>
          </w:p>
        </w:tc>
      </w:tr>
      <w:tr>
        <w:tc>
          <w:tcPr>
            <w:tcW w:type="dxa" w:w="306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top"/>
          </w:tcPr>
          <w:p>
            <w:r>
              <w:rPr>
                <w:sz w:val="17"/>
                <w:szCs w:val="17"/>
              </w:rPr>
              <w:t xml:space="preserve">Break-even (guests)</w:t>
            </w:r>
          </w:p>
        </w:tc>
        <w:tc>
          <w:tcPr>
            <w:tcW w:type="dxa" w:w="210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center"/>
          </w:tcPr>
          <w:p>
            <w:r>
              <w:rPr>
                <w:sz w:val="17"/>
                <w:szCs w:val="17"/>
              </w:rPr>
              <w:t xml:space="preserve">~16</w:t>
            </w:r>
          </w:p>
        </w:tc>
        <w:tc>
          <w:tcPr>
            <w:tcW w:type="dxa" w:w="210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center"/>
          </w:tcPr>
          <w:p>
            <w:r>
              <w:rPr>
                <w:sz w:val="17"/>
                <w:szCs w:val="17"/>
              </w:rPr>
              <w:t xml:space="preserve">~15</w:t>
            </w:r>
          </w:p>
        </w:tc>
        <w:tc>
          <w:tcPr>
            <w:tcW w:type="dxa" w:w="2100"/>
            <w:tcBorders>
              <w:top w:val="single" w:color="D9D2E3" w:sz="1"/>
              <w:left w:val="single" w:color="D9D2E3" w:sz="1"/>
              <w:bottom w:val="single" w:color="D9D2E3" w:sz="1"/>
              <w:right w:val="single" w:color="D9D2E3" w:sz="1"/>
            </w:tcBorders>
            <w:shd w:fill="F4F0F7" w:val="clear"/>
            <w:tcMar>
              <w:top w:type="dxa" w:w="70"/>
              <w:left w:type="dxa" w:w="100"/>
              <w:bottom w:type="dxa" w:w="70"/>
              <w:right w:type="dxa" w:w="100"/>
            </w:tcMar>
            <w:vAlign w:val="center"/>
          </w:tcPr>
          <w:p>
            <w:r>
              <w:rPr>
                <w:sz w:val="17"/>
                <w:szCs w:val="17"/>
              </w:rPr>
              <w:t xml:space="preserve">~15</w:t>
            </w:r>
          </w:p>
        </w:tc>
      </w:tr>
    </w:tbl>
    <w:p>
      <w:pPr>
        <w:spacing w:before="80"/>
      </w:pPr>
      <w:r>
        <w:rPr>
          <w:i/>
          <w:iCs/>
          <w:color w:val="4A4550"/>
          <w:sz w:val="16"/>
          <w:szCs w:val="16"/>
        </w:rPr>
        <w:t xml:space="preserve">*Program layer = headliner ($2,500), your + headliner flights (~$1,200; rooms are inside the villa), massage/wellness coordination (~$2,500), bar + beverages (~$1,500), content/photo (~$800), marketing (~$1,200), MahMah Tea welcome gifts at cost (~$250), payment processing ~3% (~$1,900), décor/altar (~$500), insurance/admin (~$400), buffer (~$1,000). Resort figures are planning estimates pending the over-14 quote; the up-to-14 base rates are real.</w:t>
      </w:r>
    </w:p>
    <w:p>
      <w:pPr>
        <w:pStyle w:val="Heading2"/>
      </w:pPr>
      <w:r>
        <w:t xml:space="preserve">The honest read</w:t>
      </w:r>
    </w:p>
    <w:p>
      <w:pPr>
        <w:spacing w:after="100"/>
      </w:pPr>
      <w:r>
        <w:t xml:space="preserve">Villa Tuscany is a premium, higher-fixed-cost venue with a 4-night minimum, so it behaves differently from a per-person resort: the villa is a big fixed nut, which pushes break-even up to ~15–16 women and means </w:t>
      </w:r>
      <w:r>
        <w:rPr>
          <w:b/>
          <w:bCs/>
        </w:rPr>
        <w:t xml:space="preserve">the profit lives in filling the room.</w:t>
      </w:r>
      <w:r>
        <w:t xml:space="preserve"> At 20 women the margin is real but modest ($9–16K); at 24 women at $3,333 it jumps to ~$25K. Three levers to strengthen it: fill to 22–24, hold the ticket at $3,333 (or push to $3,500–3,995 given the 5-day, no-passport, all-inclusive luxury), and keep the program layer lean.</w:t>
      </w:r>
    </w:p>
    <w:p>
      <w:r>
        <w:br w:type="page"/>
      </w:r>
    </w:p>
    <w:p>
      <w:pPr>
        <w:pStyle w:val="Heading1"/>
      </w:pPr>
      <w:r>
        <w:t xml:space="preserve">Pros</w:t>
      </w:r>
    </w:p>
    <w:p>
      <w:pPr>
        <w:pStyle w:val="ListParagraph"/>
        <w:numPr>
          <w:ilvl w:val="0"/>
          <w:numId w:val="3"/>
        </w:numPr>
        <w:spacing w:after="44"/>
      </w:pPr>
      <w:r>
        <w:rPr>
          <w:b/>
          <w:bCs/>
        </w:rPr>
        <w:t xml:space="preserve">No passport, easy arrival. </w:t>
      </w:r>
      <w:r>
        <w:t xml:space="preserve">US travelers fly direct to San Juan, on-site in ~40 min — the lowest travel friction of anything we've looked at, and it widens who can say yes.</w:t>
      </w:r>
    </w:p>
    <w:p>
      <w:pPr>
        <w:pStyle w:val="ListParagraph"/>
        <w:numPr>
          <w:ilvl w:val="0"/>
          <w:numId w:val="3"/>
        </w:numPr>
        <w:spacing w:after="44"/>
      </w:pPr>
      <w:r>
        <w:rPr>
          <w:b/>
          <w:bCs/>
        </w:rPr>
        <w:t xml:space="preserve">Central AC throughout. </w:t>
      </w:r>
      <w:r>
        <w:t xml:space="preserve">The Blue Osa dealbreaker is gone — the whole mansion is climate-controlled.</w:t>
      </w:r>
    </w:p>
    <w:p>
      <w:pPr>
        <w:pStyle w:val="ListParagraph"/>
        <w:numPr>
          <w:ilvl w:val="0"/>
          <w:numId w:val="3"/>
        </w:numPr>
        <w:spacing w:after="44"/>
      </w:pPr>
      <w:r>
        <w:rPr>
          <w:b/>
          <w:bCs/>
        </w:rPr>
        <w:t xml:space="preserve">One all-inclusive number. </w:t>
      </w:r>
      <w:r>
        <w:t xml:space="preserve">Villa + private chef + all food + staff + housekeeping + taxes + 4 golf carts in a single package — minimal production lift.</w:t>
      </w:r>
    </w:p>
    <w:p>
      <w:pPr>
        <w:pStyle w:val="ListParagraph"/>
        <w:numPr>
          <w:ilvl w:val="0"/>
          <w:numId w:val="3"/>
        </w:numPr>
        <w:spacing w:after="44"/>
      </w:pPr>
      <w:r>
        <w:rPr>
          <w:b/>
          <w:bCs/>
        </w:rPr>
        <w:t xml:space="preserve">Luxury at scale. </w:t>
      </w:r>
      <w:r>
        <w:t xml:space="preserve">10 bedrooms across 3 levels, infinity pool, jacuzzi, poolside bar, ocean views — grown-woman luxury, not a group house.</w:t>
      </w:r>
    </w:p>
    <w:p>
      <w:pPr>
        <w:pStyle w:val="ListParagraph"/>
        <w:numPr>
          <w:ilvl w:val="0"/>
          <w:numId w:val="3"/>
        </w:numPr>
        <w:spacing w:after="44"/>
      </w:pPr>
      <w:r>
        <w:rPr>
          <w:b/>
          <w:bCs/>
        </w:rPr>
        <w:t xml:space="preserve">A full resort around you. </w:t>
      </w:r>
      <w:r>
        <w:t xml:space="preserve">Spa, golf, tennis, pickleball, beach, restaurants, casino, Margaritaville — endless optional amenities without leaving the grounds.</w:t>
      </w:r>
    </w:p>
    <w:p>
      <w:pPr>
        <w:pStyle w:val="ListParagraph"/>
        <w:numPr>
          <w:ilvl w:val="0"/>
          <w:numId w:val="3"/>
        </w:numPr>
        <w:spacing w:after="44"/>
      </w:pPr>
      <w:r>
        <w:rPr>
          <w:b/>
          <w:bCs/>
        </w:rPr>
        <w:t xml:space="preserve">El Yunque rainforest. </w:t>
      </w:r>
      <w:r>
        <w:t xml:space="preserve">A sacred natural setting minutes away for a rebirth ceremony, waterfall immersion, or excursion.</w:t>
      </w:r>
    </w:p>
    <w:p>
      <w:pPr>
        <w:pStyle w:val="ListParagraph"/>
        <w:numPr>
          <w:ilvl w:val="0"/>
          <w:numId w:val="3"/>
        </w:numPr>
        <w:spacing w:after="44"/>
      </w:pPr>
      <w:r>
        <w:rPr>
          <w:b/>
          <w:bCs/>
        </w:rPr>
        <w:t xml:space="preserve">Turnkey culture + wellness. </w:t>
      </w:r>
      <w:r>
        <w:t xml:space="preserve">CLR coordinates massage/yoga/spa, a Puerto Rican Night (salsa, rum bar, live music), and island excursions (catamaran, bio-bay) — easy to build a rich itinerary.</w:t>
      </w:r>
    </w:p>
    <w:p>
      <w:pPr>
        <w:pStyle w:val="ListParagraph"/>
        <w:numPr>
          <w:ilvl w:val="0"/>
          <w:numId w:val="3"/>
        </w:numPr>
        <w:spacing w:after="44"/>
      </w:pPr>
      <w:r>
        <w:rPr>
          <w:b/>
          <w:bCs/>
        </w:rPr>
        <w:t xml:space="preserve">Recently reborn. </w:t>
      </w:r>
      <w:r>
        <w:t xml:space="preserve">The Río Mar resort just completed a full renovation — fittingly, a “rebirth.”</w:t>
      </w:r>
    </w:p>
    <w:p>
      <w:pPr>
        <w:pStyle w:val="Heading1"/>
      </w:pPr>
      <w:r>
        <w:t xml:space="preserve">Cons &amp; Confirm-Before-Booking</w:t>
      </w:r>
    </w:p>
    <w:p>
      <w:pPr>
        <w:pStyle w:val="ListParagraph"/>
        <w:numPr>
          <w:ilvl w:val="0"/>
          <w:numId w:val="4"/>
        </w:numPr>
        <w:spacing w:after="44"/>
      </w:pPr>
      <w:r>
        <w:rPr>
          <w:b/>
          <w:bCs/>
        </w:rPr>
        <w:t xml:space="preserve">It's inside a resort, not on the sand. </w:t>
      </w:r>
      <w:r>
        <w:t xml:space="preserve">Panoramic ocean views, but the villa isn't beachfront — the beach is a short golf-cart ride within the resort. Confirm exact beach distance/access if toes-in-sand matters.</w:t>
      </w:r>
    </w:p>
    <w:p>
      <w:pPr>
        <w:pStyle w:val="ListParagraph"/>
        <w:numPr>
          <w:ilvl w:val="0"/>
          <w:numId w:val="4"/>
        </w:numPr>
        <w:spacing w:after="44"/>
      </w:pPr>
      <w:r>
        <w:rPr>
          <w:b/>
          <w:bCs/>
        </w:rPr>
        <w:t xml:space="preserve">Quiet hours + no big events. </w:t>
      </w:r>
      <w:r>
        <w:t xml:space="preserve">Community quiet hours 10 PM–7 AM and no parties/large events — a resort setting. Confirm whether a fire circle, drumming, or late ceremony is allowed, and where.</w:t>
      </w:r>
    </w:p>
    <w:p>
      <w:pPr>
        <w:pStyle w:val="ListParagraph"/>
        <w:numPr>
          <w:ilvl w:val="0"/>
          <w:numId w:val="4"/>
        </w:numPr>
        <w:spacing w:after="44"/>
      </w:pPr>
      <w:r>
        <w:rPr>
          <w:b/>
          <w:bCs/>
        </w:rPr>
        <w:t xml:space="preserve">Higher fixed cost + 4-night minimum. </w:t>
      </w:r>
      <w:r>
        <w:t xml:space="preserve">Break-even sits at ~15–16 women; this venue rewards filling the room and a $3,333+ ticket. A 5-day trip is also a bigger time ask than a 3-nighter.</w:t>
      </w:r>
    </w:p>
    <w:p>
      <w:pPr>
        <w:pStyle w:val="ListParagraph"/>
        <w:numPr>
          <w:ilvl w:val="0"/>
          <w:numId w:val="4"/>
        </w:numPr>
        <w:spacing w:after="44"/>
      </w:pPr>
      <w:r>
        <w:rPr>
          <w:b/>
          <w:bCs/>
        </w:rPr>
        <w:t xml:space="preserve">Beverages/alcohol not included. </w:t>
      </w:r>
      <w:r>
        <w:t xml:space="preserve">Food is included; wine/champagne and bar service are paid add-ons (~$200/hr bartender + drinks, or the rum-bar in Puerto Rican Night). Budget the bar separately.</w:t>
      </w:r>
    </w:p>
    <w:p>
      <w:pPr>
        <w:pStyle w:val="ListParagraph"/>
        <w:numPr>
          <w:ilvl w:val="0"/>
          <w:numId w:val="4"/>
        </w:numPr>
        <w:spacing w:after="44"/>
      </w:pPr>
      <w:r>
        <w:rPr>
          <w:b/>
          <w:bCs/>
        </w:rPr>
        <w:t xml:space="preserve">Massage is an add-on. </w:t>
      </w:r>
      <w:r>
        <w:t xml:space="preserve">Not in the base package — CLR coordinates it; get group spa/massage pricing in writing.</w:t>
      </w:r>
    </w:p>
    <w:p>
      <w:pPr>
        <w:pStyle w:val="ListParagraph"/>
        <w:numPr>
          <w:ilvl w:val="0"/>
          <w:numId w:val="4"/>
        </w:numPr>
        <w:spacing w:after="44"/>
      </w:pPr>
      <w:r>
        <w:rPr>
          <w:b/>
          <w:bCs/>
        </w:rPr>
        <w:t xml:space="preserve">Over-14 pricing is custom. </w:t>
      </w:r>
      <w:r>
        <w:t xml:space="preserve">The 20–24 number isn't published; get the exact per-guest/day fee so the model locks.</w:t>
      </w:r>
    </w:p>
    <w:p>
      <w:pPr>
        <w:pStyle w:val="ListParagraph"/>
        <w:numPr>
          <w:ilvl w:val="0"/>
          <w:numId w:val="4"/>
        </w:numPr>
        <w:spacing w:after="44"/>
      </w:pPr>
      <w:r>
        <w:rPr>
          <w:b/>
          <w:bCs/>
        </w:rPr>
        <w:t xml:space="preserve">Confirm women-only exclusivity and that all 10 bedrooms are AC + comfortable for your rooming (some rooms share baths; a few beds are twins/futons/trundle — matters for a dignified 2-per-room plan).</w:t>
      </w:r>
    </w:p>
    <w:p>
      <w:pPr>
        <w:pStyle w:val="Heading1"/>
      </w:pPr>
      <w:r>
        <w:t xml:space="preserve">Recommendation &amp; Next Step</w:t>
      </w:r>
    </w:p>
    <w:p>
      <w:pPr>
        <w:spacing w:after="100"/>
      </w:pPr>
      <w:r>
        <w:t xml:space="preserve">Villa Tuscany is the right call for a low-friction, no-passport, AC-throughout luxury debut — just run it as a </w:t>
      </w:r>
      <w:r>
        <w:rPr>
          <w:b/>
          <w:bCs/>
        </w:rPr>
        <w:t xml:space="preserve">fill-the-room, $3,333-ticket, 4-night retreat</w:t>
      </w:r>
      <w:r>
        <w:t xml:space="preserve"> and confirm the fire-ceremony and beach questions up front. Aim for 22–24 women; that's where the profit is.</w:t>
      </w:r>
    </w:p>
    <w:p>
      <w:pPr>
        <w:spacing w:after="100"/>
      </w:pPr>
      <w:hyperlink w:history="1" r:id="rId6ppsi2dremyuesv406sbp">
        <w:r>
          <w:rPr>
            <w:rStyle w:val="Hyperlink"/>
            <w:color w:val="0E7C7B"/>
            <w:sz w:val="18"/>
            <w:szCs w:val="18"/>
          </w:rPr>
          <w:t xml:space="preserve">Villa Tuscany page + photos/video</w:t>
        </w:r>
      </w:hyperlink>
      <w:r>
        <w:rPr>
          <w:color w:val="4A4550"/>
        </w:rPr>
        <w:t xml:space="preserve">   ·   </w:t>
      </w:r>
      <w:hyperlink w:history="1" r:id="rIdgcixvsr7arsibiutfngwi">
        <w:r>
          <w:rPr>
            <w:rStyle w:val="Hyperlink"/>
            <w:color w:val="0E7C7B"/>
            <w:sz w:val="18"/>
            <w:szCs w:val="18"/>
          </w:rPr>
          <w:t xml:space="preserve">All-inclusive package pricing</w:t>
        </w:r>
      </w:hyperlink>
      <w:r>
        <w:rPr>
          <w:color w:val="4A4550"/>
        </w:rPr>
        <w:t xml:space="preserve">   ·   </w:t>
      </w:r>
      <w:hyperlink w:history="1" r:id="rIdduwa4wzxrdvlid63kbel6">
        <w:r>
          <w:rPr>
            <w:rStyle w:val="Hyperlink"/>
            <w:color w:val="0E7C7B"/>
            <w:sz w:val="18"/>
            <w:szCs w:val="18"/>
          </w:rPr>
          <w:t xml:space="preserve">Retreats</w:t>
        </w:r>
      </w:hyperlink>
    </w:p>
    <w:p>
      <w:pPr>
        <w:spacing w:before="100"/>
      </w:pPr>
      <w:r>
        <w:rPr>
          <w:i/>
          <w:iCs/>
          <w:color w:val="4A4550"/>
        </w:rPr>
        <w:t xml:space="preserve">Want me to draft the retreat-proposal inquiry to Caribbean Luxury Rentals — 20–24 women, your dates, all-AC + women-only confirmation, seafood/Afro-Caribbean menu, bar service, massage pricing, and fire-ceremony allowance — so we replace the estimate with a real over-14 quote? Say the word.</w:t>
      </w:r>
    </w:p>
    <w:sectPr>
      <w:footerReference w:type="default" r:id="rId7"/>
      <w:pgSz w:w="12240" w:h="15840" w:orient="portrait"/>
      <w:pgMar w:top="1150" w:right="1350" w:bottom="11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550"/>
        <w:sz w:val="15"/>
        <w:szCs w:val="15"/>
      </w:rPr>
      <w:t xml:space="preserve">The Sacred Rebirth Experience — Villa Tuscany, Puerto Rico · Private &amp; Confidential · Page </w:t>
    </w:r>
    <w:r>
      <w:rPr>
        <w:color w:val="4A455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rPr>
        <w:color w:val="B8860B"/>
      </w:rPr>
    </w:lvl>
  </w:abstractNum>
  <w:abstractNum w:abstractNumId="3" w15:restartNumberingAfterBreak="0">
    <w:multiLevelType w:val="hybridMultilevel"/>
    <w:lvl w:ilvl="0" w15:tentative="1">
      <w:start w:val="1"/>
      <w:numFmt w:val="bullet"/>
      <w:lvlText w:val="✓"/>
      <w:lvlJc w:val="left"/>
      <w:pPr>
        <w:ind w:left="440" w:hanging="250"/>
      </w:pPr>
      <w:rPr>
        <w:color w:val="1E7A4C"/>
      </w:rPr>
    </w:lvl>
  </w:abstractNum>
  <w:abstractNum w:abstractNumId="4" w15:restartNumberingAfterBreak="0">
    <w:multiLevelType w:val="hybridMultilevel"/>
    <w:lvl w:ilvl="0" w15:tentative="1">
      <w:start w:val="1"/>
      <w:numFmt w:val="bullet"/>
      <w:lvlText w:val="▲"/>
      <w:lvlJc w:val="left"/>
      <w:pPr>
        <w:ind w:left="440" w:hanging="250"/>
      </w:pPr>
      <w:rPr>
        <w:color w:val="9A2A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0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50"/>
      <w:outlineLvl w:val="0"/>
    </w:pPr>
    <w:rPr>
      <w:rFonts w:ascii="Arial" w:cs="Arial" w:eastAsia="Arial" w:hAnsi="Arial"/>
      <w:b/>
      <w:bCs/>
      <w:color w:val="141019"/>
      <w:sz w:val="27"/>
      <w:szCs w:val="27"/>
    </w:rPr>
  </w:style>
  <w:style w:type="paragraph" w:styleId="Heading2">
    <w:name w:val="Heading 2"/>
    <w:basedOn w:val="Normal"/>
    <w:next w:val="Normal"/>
    <w:qFormat/>
    <w:pPr>
      <w:spacing w:after="60" w:before="150"/>
      <w:outlineLvl w:val="1"/>
    </w:pPr>
    <w:rPr>
      <w:rFonts w:ascii="Arial" w:cs="Arial" w:eastAsia="Arial" w:hAnsi="Arial"/>
      <w:b/>
      <w:bCs/>
      <w:color w:val="6B4E9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6ppsi2dremyuesv406sbp" Type="http://schemas.openxmlformats.org/officeDocument/2006/relationships/hyperlink" Target="https://www.caribbeanluxuryrentals.com/villa-tuscany/" TargetMode="External"/><Relationship Id="rIdgcixvsr7arsibiutfngwi" Type="http://schemas.openxmlformats.org/officeDocument/2006/relationships/hyperlink" Target="https://www.caribbeanluxuryrentals.com/puerto-rico-vacation-packages-all-inclusive/" TargetMode="External"/><Relationship Id="rIdduwa4wzxrdvlid63kbel6" Type="http://schemas.openxmlformats.org/officeDocument/2006/relationships/hyperlink" Target="https://www.caribbeanluxuryrentals.com/puerto-rico-retreat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2026-07-07T11:38:40.478Z</dcterms:created>
  <dcterms:modified xsi:type="dcterms:W3CDTF">2026-07-07T11:38:40.478Z</dcterms:modified>
</cp:coreProperties>
</file>

<file path=docProps/custom.xml><?xml version="1.0" encoding="utf-8"?>
<Properties xmlns="http://schemas.openxmlformats.org/officeDocument/2006/custom-properties" xmlns:vt="http://schemas.openxmlformats.org/officeDocument/2006/docPropsVTypes"/>
</file>