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  <w:jc w:val="center"/>
      </w:pPr>
      <w:r>
        <w:rPr>
          <w:rFonts w:ascii="Noto Sans CJK SC" w:hAnsi="Noto Sans CJK SC" w:eastAsia="Noto Sans CJK SC"/>
          <w:b/>
          <w:sz w:val="40"/>
        </w:rPr>
        <w:t>员工培训管理制度</w:t>
      </w:r>
    </w:p>
    <w:p>
      <w:pPr>
        <w:jc w:val="center"/>
      </w:pPr>
      <w:r>
        <w:rPr>
          <w:rFonts w:ascii="Noto Sans CJK SC" w:hAnsi="Noto Sans CJK SC" w:eastAsia="Noto Sans CJK SC"/>
          <w:b w:val="0"/>
          <w:sz w:val="20"/>
        </w:rPr>
        <w:t>模拟验收资料  建议分类 人事制度</w:t>
      </w:r>
    </w:p>
    <w:p>
      <w:pPr>
        <w:pStyle w:val="Heading1"/>
      </w:pPr>
      <w:r>
        <w:rPr>
          <w:rFonts w:ascii="Noto Sans CJK SC" w:hAnsi="Noto Sans CJK SC" w:eastAsia="Noto Sans CJK SC"/>
          <w:b/>
          <w:sz w:val="28"/>
        </w:rPr>
        <w:t>适用范围</w:t>
      </w:r>
    </w:p>
    <w:p>
      <w:pPr>
        <w:spacing w:line="360" w:lineRule="auto"/>
        <w:ind w:firstLine="420"/>
      </w:pPr>
      <w:r>
        <w:rPr>
          <w:rFonts w:ascii="Noto Sans CJK SC" w:hAnsi="Noto Sans CJK SC" w:eastAsia="Noto Sans CJK SC"/>
          <w:b w:val="0"/>
          <w:sz w:val="22"/>
        </w:rPr>
        <w:t>本制度适用于单位内部员工的岗前培训和年度继续教育。</w:t>
      </w:r>
    </w:p>
    <w:p>
      <w:pPr>
        <w:pStyle w:val="Heading1"/>
      </w:pPr>
      <w:r>
        <w:rPr>
          <w:rFonts w:ascii="Noto Sans CJK SC" w:hAnsi="Noto Sans CJK SC" w:eastAsia="Noto Sans CJK SC"/>
          <w:b/>
          <w:sz w:val="28"/>
        </w:rPr>
        <w:t>培训安排</w:t>
      </w:r>
    </w:p>
    <w:p>
      <w:pPr>
        <w:spacing w:line="360" w:lineRule="auto"/>
        <w:ind w:firstLine="420"/>
      </w:pPr>
      <w:r>
        <w:rPr>
          <w:rFonts w:ascii="Noto Sans CJK SC" w:hAnsi="Noto Sans CJK SC" w:eastAsia="Noto Sans CJK SC"/>
          <w:b w:val="0"/>
          <w:sz w:val="22"/>
        </w:rPr>
        <w:t>综合部门每年制定培训计划，记录培训主题、参加人员和完成情况。</w:t>
      </w:r>
    </w:p>
    <w:p>
      <w:pPr>
        <w:pStyle w:val="Heading1"/>
      </w:pPr>
      <w:r>
        <w:rPr>
          <w:rFonts w:ascii="Noto Sans CJK SC" w:hAnsi="Noto Sans CJK SC" w:eastAsia="Noto Sans CJK SC"/>
          <w:b/>
          <w:sz w:val="28"/>
        </w:rPr>
        <w:t>资料管理</w:t>
      </w:r>
    </w:p>
    <w:p>
      <w:pPr>
        <w:spacing w:line="360" w:lineRule="auto"/>
        <w:ind w:firstLine="420"/>
      </w:pPr>
      <w:r>
        <w:rPr>
          <w:rFonts w:ascii="Noto Sans CJK SC" w:hAnsi="Noto Sans CJK SC" w:eastAsia="Noto Sans CJK SC"/>
          <w:b w:val="0"/>
          <w:sz w:val="22"/>
        </w:rPr>
        <w:t>培训资料由经办人员整理后归档，供内部查询和引用。</w:t>
      </w:r>
    </w:p>
    <w:sectPr w:rsidR="00FC693F" w:rsidRPr="0006063C" w:rsidSect="00034616">
      <w:footerReference w:type="default" r:id="rId9"/>
      <w:pgSz w:w="12240" w:h="15840"/>
      <w:pgMar w:top="1361" w:right="1474" w:bottom="1361" w:left="1474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rFonts w:ascii="Noto Sans CJK SC" w:hAnsi="Noto Sans CJK SC" w:eastAsia="Noto Sans CJK SC"/>
        <w:b w:val="0"/>
        <w:sz w:val="18"/>
      </w:rPr>
      <w:t>仅用于文澜资料库离线验收</w:t>
    </w:r>
  </w:p>
</w:ft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