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Noto Sans CJK SC" w:hAnsi="Noto Sans CJK SC" w:eastAsia="Noto Sans CJK SC"/>
          <w:b/>
          <w:sz w:val="40"/>
        </w:rPr>
        <w:t>差旅费用报销办法</w:t>
      </w:r>
    </w:p>
    <w:p>
      <w:pPr>
        <w:jc w:val="center"/>
      </w:pPr>
      <w:r>
        <w:rPr>
          <w:rFonts w:ascii="Noto Sans CJK SC" w:hAnsi="Noto Sans CJK SC" w:eastAsia="Noto Sans CJK SC"/>
          <w:b w:val="0"/>
          <w:sz w:val="20"/>
        </w:rPr>
        <w:t>模拟验收资料  建议分类 财务制度</w:t>
      </w:r>
    </w:p>
    <w:p>
      <w:pPr>
        <w:pStyle w:val="Heading1"/>
      </w:pPr>
      <w:r>
        <w:rPr>
          <w:rFonts w:ascii="Noto Sans CJK SC" w:hAnsi="Noto Sans CJK SC" w:eastAsia="Noto Sans CJK SC"/>
          <w:b/>
          <w:sz w:val="28"/>
        </w:rPr>
        <w:t>报销范围</w:t>
      </w:r>
    </w:p>
    <w:p>
      <w:pPr>
        <w:spacing w:line="360" w:lineRule="auto"/>
        <w:ind w:firstLine="420"/>
      </w:pPr>
      <w:r>
        <w:rPr>
          <w:rFonts w:ascii="Noto Sans CJK SC" w:hAnsi="Noto Sans CJK SC" w:eastAsia="Noto Sans CJK SC"/>
          <w:b w:val="0"/>
          <w:sz w:val="22"/>
        </w:rPr>
        <w:t>差旅费包括交通费、住宿费和按规定发放的出差补助。</w:t>
      </w:r>
    </w:p>
    <w:p>
      <w:pPr>
        <w:pStyle w:val="Heading1"/>
      </w:pPr>
      <w:r>
        <w:rPr>
          <w:rFonts w:ascii="Noto Sans CJK SC" w:hAnsi="Noto Sans CJK SC" w:eastAsia="Noto Sans CJK SC"/>
          <w:b/>
          <w:sz w:val="28"/>
        </w:rPr>
        <w:t>提交要求</w:t>
      </w:r>
    </w:p>
    <w:p>
      <w:pPr>
        <w:spacing w:line="360" w:lineRule="auto"/>
        <w:ind w:firstLine="420"/>
      </w:pPr>
      <w:r>
        <w:rPr>
          <w:rFonts w:ascii="Noto Sans CJK SC" w:hAnsi="Noto Sans CJK SC" w:eastAsia="Noto Sans CJK SC"/>
          <w:b w:val="0"/>
          <w:sz w:val="22"/>
        </w:rPr>
        <w:t>报销人应提交审批记录和有效票据，并注明出差事由。</w:t>
      </w:r>
    </w:p>
    <w:p>
      <w:pPr>
        <w:pStyle w:val="Heading1"/>
      </w:pPr>
      <w:r>
        <w:rPr>
          <w:rFonts w:ascii="Noto Sans CJK SC" w:hAnsi="Noto Sans CJK SC" w:eastAsia="Noto Sans CJK SC"/>
          <w:b/>
          <w:sz w:val="28"/>
        </w:rPr>
        <w:t>审核流程</w:t>
      </w:r>
    </w:p>
    <w:p>
      <w:pPr>
        <w:spacing w:line="360" w:lineRule="auto"/>
        <w:ind w:firstLine="420"/>
      </w:pPr>
      <w:r>
        <w:rPr>
          <w:rFonts w:ascii="Noto Sans CJK SC" w:hAnsi="Noto Sans CJK SC" w:eastAsia="Noto Sans CJK SC"/>
          <w:b w:val="0"/>
          <w:sz w:val="22"/>
        </w:rPr>
        <w:t>部门负责人确认后交财务复核，资料完整后办理报销。</w:t>
      </w:r>
    </w:p>
    <w:sectPr w:rsidR="00FC693F" w:rsidRPr="0006063C" w:rsidSect="00034616">
      <w:footerReference w:type="default" r:id="rId9"/>
      <w:pgSz w:w="12240" w:h="15840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b w:val="0"/>
        <w:sz w:val="18"/>
      </w:rPr>
      <w:t>仅用于文澜资料库离线验收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