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差旅费用报销办法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模拟验收资料  建议分类 财务制度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报销范围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差旅费包括交通费、住宿费和按规定发放的出差补助。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提交要求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报销人应提交审批记录和有效票据，并注明出差事由。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审核流程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部门负责人确认后交财务复核，资料完整后办理报销。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仅用于文澜资料库离线验收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