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0"/>
        </w:rPr>
        <w:t>资料管理项目会议纪要</w:t>
      </w:r>
    </w:p>
    <w:p>
      <w:pPr>
        <w:jc w:val="center"/>
      </w:pPr>
      <w:r>
        <w:rPr>
          <w:rFonts w:ascii="Noto Sans CJK SC" w:hAnsi="Noto Sans CJK SC" w:eastAsia="Noto Sans CJK SC"/>
          <w:b w:val="0"/>
          <w:sz w:val="20"/>
        </w:rPr>
        <w:t>模拟验收资料  建议分类 项目资料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会议议题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讨论离线文档导入、正文搜索、分类管理和诊断日志方案。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会议决定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文件导入资料库时采用复制方式，一个文档只属于一个分类。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后续事项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使用虚构材料开展验收，不在诊断包中记录文件名和正文。</w:t>
      </w:r>
    </w:p>
    <w:sectPr w:rsidR="00FC693F" w:rsidRPr="0006063C" w:rsidSect="00034616">
      <w:footerReference w:type="default" r:id="rId9"/>
      <w:pgSz w:w="12240" w:h="15840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sz w:val="18"/>
      </w:rPr>
      <w:t>仅用于文澜资料库离线验收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