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Noto Sans CJK SC" w:hAnsi="Noto Sans CJK SC" w:eastAsia="Noto Sans CJK SC"/>
          <w:b/>
          <w:sz w:val="40"/>
        </w:rPr>
        <w:t>财务报销模拟文档 49</w:t>
      </w:r>
    </w:p>
    <w:p>
      <w:r>
        <w:rPr>
          <w:rFonts w:ascii="Noto Sans CJK SC" w:hAnsi="Noto Sans CJK SC" w:eastAsia="Noto Sans CJK SC"/>
          <w:b w:val="0"/>
          <w:sz w:val="22"/>
        </w:rPr>
        <w:t>本文档仅使用虚构内容，用于验证离线导入、预览和搜索。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28"/>
        </w:rPr>
        <w:t>第1部分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财务报销的模拟记录编号为 SIM-49-01。所有单位、人员、金额和日期均为虚构数据。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28"/>
        </w:rPr>
        <w:t>第2部分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财务报销的模拟记录编号为 SIM-49-02。所有单位、人员、金额和日期均为虚构数据。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28"/>
        </w:rPr>
        <w:t>第3部分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财务报销的模拟记录编号为 SIM-49-03。所有单位、人员、金额和日期均为虚构数据。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4"/>
        </w:rPr>
        <w:t>第4部分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财务报销的模拟记录编号为 SIM-49-04。所有单位、人员、金额和日期均为虚构数据。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4"/>
        </w:rPr>
        <w:t>第5部分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财务报销的模拟记录编号为 SIM-49-05。所有单位、人员、金额和日期均为虚构数据。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4"/>
        </w:rPr>
        <w:t>第6部分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财务报销的模拟记录编号为 SIM-49-06。所有单位、人员、金额和日期均为虚构数据。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b/>
          <w:sz w:val="28"/>
        </w:rPr>
        <w:t>附录</w:t>
      </w:r>
    </w:p>
    <w:p>
      <w:r>
        <w:rPr>
          <w:rFonts w:ascii="Noto Sans CJK SC" w:hAnsi="Noto Sans CJK SC" w:eastAsia="Noto Sans CJK SC"/>
          <w:b w:val="0"/>
          <w:sz w:val="22"/>
        </w:rPr>
        <w:t>用于验证分页和长文档预览。</w:t>
      </w:r>
    </w:p>
    <w:sectPr w:rsidR="00FC693F" w:rsidRPr="0006063C" w:rsidSect="00034616">
      <w:footerReference w:type="default" r:id="rId9"/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sz w:val="18"/>
      </w:rPr>
      <w:t>仅用于离线功能验收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