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3042"/>
          <w:sz w:val="50"/>
        </w:rPr>
        <w:t>BANKING RISK INTELLIGENCE</w:t>
      </w:r>
    </w:p>
    <w:p>
      <w:pPr>
        <w:jc w:val="center"/>
      </w:pPr>
      <w:r>
        <w:rPr>
          <w:color w:val="9D895D"/>
          <w:sz w:val="32"/>
        </w:rPr>
        <w:t>Loan Risk Assessment — Business Analysis Report</w:t>
      </w:r>
    </w:p>
    <w:p>
      <w:pPr>
        <w:jc w:val="center"/>
      </w:pPr>
      <w:r>
        <w:rPr>
          <w:i/>
          <w:sz w:val="20"/>
        </w:rPr>
        <w:t>Prepared from the provided credit_risk_dataset.csv</w:t>
      </w:r>
    </w:p>
    <w:p/>
    <w:p>
      <w:pPr>
        <w:pStyle w:val="Heading1"/>
      </w:pPr>
      <w:r>
        <w:t>1. Executive Summary</w:t>
      </w:r>
    </w:p>
    <w:p>
      <w:r>
        <w:t>This report examines 32,416 records after removing 165 duplicate rows from the original 32,581-row file. Under the commonly used dataset coding convention, loan_status = 1 represents a recorded default and loan_status = 0 represents no recorded default; this interpretation should be checked against the dataset's original documentation before formal submission. Using that convention, 7,089 records are coded 1 (21.87%), while 25,327 are coded 0 (78.13%). The analysis compares observed status-1 rates across loan grades, loan purposes, and home-ownership categories, along with loan size and interest-rate patterns.</w:t>
      </w:r>
    </w:p>
    <w:p>
      <w:r>
        <w:t>The results are descriptive associations, not proof of cause and not a validated prediction model. They should support further investigation rather than automatic loan approval or rejection.</w:t>
      </w:r>
    </w:p>
    <w:p>
      <w:pPr>
        <w:pStyle w:val="Heading1"/>
      </w:pPr>
      <w:r>
        <w:t>2. Business Problem</w:t>
      </w:r>
    </w:p>
    <w:p>
      <w:r>
        <w:t>A financial institution needs to understand which loan characteristics are associated with higher recorded default outcomes. Better portfolio monitoring can help the institution review underwriting rules, improve risk monitoring, and balance responsible lending with customer experience.</w:t>
      </w:r>
    </w:p>
    <w:p>
      <w:pPr>
        <w:pStyle w:val="Heading1"/>
      </w:pPr>
      <w:r>
        <w:t>3. Project Objectives</w:t>
      </w:r>
    </w:p>
    <w:p>
      <w:pPr>
        <w:pStyle w:val="ListBullet"/>
      </w:pPr>
      <w:r>
        <w:t>Measure the share of records coded as default and non-default.</w:t>
      </w:r>
    </w:p>
    <w:p>
      <w:pPr>
        <w:pStyle w:val="ListBullet"/>
      </w:pPr>
      <w:r>
        <w:t>Compare observed outcome rates across loan grades, purposes, and home-ownership categories.</w:t>
      </w:r>
    </w:p>
    <w:p>
      <w:pPr>
        <w:pStyle w:val="ListBullet"/>
      </w:pPr>
      <w:r>
        <w:t>Summarize loan amounts, interest rates, income, and loan-to-income patterns.</w:t>
      </w:r>
    </w:p>
    <w:p>
      <w:pPr>
        <w:pStyle w:val="ListBullet"/>
      </w:pPr>
      <w:r>
        <w:t>Provide a concise set of responsible, evidence-led recommendations.</w:t>
      </w:r>
    </w:p>
    <w:p>
      <w:pPr>
        <w:pStyle w:val="ListBullet"/>
      </w:pPr>
      <w:r>
        <w:t>Present findings through a Python analysis and interactive Streamlit dashboard.</w:t>
      </w:r>
    </w:p>
    <w:p>
      <w:pPr>
        <w:pStyle w:val="Heading1"/>
      </w:pPr>
      <w:r>
        <w:t>4. Dataset Description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B2733"/>
          </w:tcPr>
          <w:p>
            <w:pPr>
              <w:spacing w:after="0"/>
            </w:pPr>
            <w:r/>
            <w:r>
              <w:rPr>
                <w:rFonts w:ascii="Aptos" w:hAnsi="Aptos"/>
                <w:b/>
                <w:color w:val="F0EEE8"/>
                <w:sz w:val="18"/>
              </w:rPr>
              <w:t>Item</w:t>
            </w:r>
          </w:p>
        </w:tc>
        <w:tc>
          <w:tcPr>
            <w:tcW w:type="dxa" w:w="4968"/>
            <w:vAlign w:val="center"/>
            <w:shd w:fill="1B2733"/>
          </w:tcPr>
          <w:p>
            <w:pPr>
              <w:spacing w:after="0"/>
            </w:pPr>
            <w:r/>
            <w:r>
              <w:rPr>
                <w:rFonts w:ascii="Aptos" w:hAnsi="Aptos"/>
                <w:b/>
                <w:color w:val="F0EEE8"/>
                <w:sz w:val="18"/>
              </w:rPr>
              <w:t>Description</w:t>
            </w:r>
          </w:p>
        </w:tc>
      </w:tr>
      <w:tr>
        <w:tc>
          <w:tcPr>
            <w:tcW w:type="dxa" w:w="4968"/>
            <w:vAlign w:val="center"/>
          </w:tcPr>
          <w:p>
            <w:pPr>
              <w:spacing w:after="0"/>
            </w:pPr>
            <w:r/>
            <w:r>
              <w:rPr>
                <w:rFonts w:ascii="Aptos" w:hAnsi="Aptos"/>
                <w:b w:val="0"/>
                <w:color w:val="283441"/>
                <w:sz w:val="18"/>
              </w:rPr>
              <w:t>Source file</w:t>
            </w:r>
          </w:p>
        </w:tc>
        <w:tc>
          <w:tcPr>
            <w:tcW w:type="dxa" w:w="4968"/>
            <w:vAlign w:val="center"/>
          </w:tcPr>
          <w:p>
            <w:pPr>
              <w:spacing w:after="0"/>
            </w:pPr>
            <w:r/>
            <w:r>
              <w:rPr>
                <w:rFonts w:ascii="Aptos" w:hAnsi="Aptos"/>
                <w:b w:val="0"/>
                <w:color w:val="283441"/>
                <w:sz w:val="18"/>
              </w:rPr>
              <w:t>credit_risk_dataset.csv</w:t>
            </w:r>
          </w:p>
        </w:tc>
      </w:tr>
      <w:tr>
        <w:tc>
          <w:tcPr>
            <w:tcW w:type="dxa" w:w="4968"/>
            <w:vAlign w:val="center"/>
            <w:shd w:fill="EEF1F3"/>
          </w:tcPr>
          <w:p>
            <w:pPr>
              <w:spacing w:after="0"/>
            </w:pPr>
            <w:r/>
            <w:r>
              <w:rPr>
                <w:rFonts w:ascii="Aptos" w:hAnsi="Aptos"/>
                <w:b w:val="0"/>
                <w:color w:val="283441"/>
                <w:sz w:val="18"/>
              </w:rPr>
              <w:t>Original size</w:t>
            </w:r>
          </w:p>
        </w:tc>
        <w:tc>
          <w:tcPr>
            <w:tcW w:type="dxa" w:w="4968"/>
            <w:vAlign w:val="center"/>
            <w:shd w:fill="EEF1F3"/>
          </w:tcPr>
          <w:p>
            <w:pPr>
              <w:spacing w:after="0"/>
            </w:pPr>
            <w:r/>
            <w:r>
              <w:rPr>
                <w:rFonts w:ascii="Aptos" w:hAnsi="Aptos"/>
                <w:b w:val="0"/>
                <w:color w:val="283441"/>
                <w:sz w:val="18"/>
              </w:rPr>
              <w:t>32,581 rows × 12 columns</w:t>
            </w:r>
          </w:p>
        </w:tc>
      </w:tr>
      <w:tr>
        <w:tc>
          <w:tcPr>
            <w:tcW w:type="dxa" w:w="4968"/>
            <w:vAlign w:val="center"/>
          </w:tcPr>
          <w:p>
            <w:pPr>
              <w:spacing w:after="0"/>
            </w:pPr>
            <w:r/>
            <w:r>
              <w:rPr>
                <w:rFonts w:ascii="Aptos" w:hAnsi="Aptos"/>
                <w:b w:val="0"/>
                <w:color w:val="283441"/>
                <w:sz w:val="18"/>
              </w:rPr>
              <w:t>Fields</w:t>
            </w:r>
          </w:p>
        </w:tc>
        <w:tc>
          <w:tcPr>
            <w:tcW w:type="dxa" w:w="4968"/>
            <w:vAlign w:val="center"/>
          </w:tcPr>
          <w:p>
            <w:pPr>
              <w:spacing w:after="0"/>
            </w:pPr>
            <w:r/>
            <w:r>
              <w:rPr>
                <w:rFonts w:ascii="Aptos" w:hAnsi="Aptos"/>
                <w:b w:val="0"/>
                <w:color w:val="283441"/>
                <w:sz w:val="18"/>
              </w:rPr>
              <w:t>person_age, person_income, person_home_ownership, person_emp_length, loan_intent, loan_grade, loan_amnt, loan_int_rate, loan_status, loan_percent_income, cb_person_default_on_file, cb_person_cred_hist_length</w:t>
            </w:r>
          </w:p>
        </w:tc>
      </w:tr>
      <w:tr>
        <w:tc>
          <w:tcPr>
            <w:tcW w:type="dxa" w:w="4968"/>
            <w:vAlign w:val="center"/>
            <w:shd w:fill="EEF1F3"/>
          </w:tcPr>
          <w:p>
            <w:pPr>
              <w:spacing w:after="0"/>
            </w:pPr>
            <w:r/>
            <w:r>
              <w:rPr>
                <w:rFonts w:ascii="Aptos" w:hAnsi="Aptos"/>
                <w:b w:val="0"/>
                <w:color w:val="283441"/>
                <w:sz w:val="18"/>
              </w:rPr>
              <w:t>Outcome field</w:t>
            </w:r>
          </w:p>
        </w:tc>
        <w:tc>
          <w:tcPr>
            <w:tcW w:type="dxa" w:w="4968"/>
            <w:vAlign w:val="center"/>
            <w:shd w:fill="EEF1F3"/>
          </w:tcPr>
          <w:p>
            <w:pPr>
              <w:spacing w:after="0"/>
            </w:pPr>
            <w:r/>
            <w:r>
              <w:rPr>
                <w:rFonts w:ascii="Aptos" w:hAnsi="Aptos"/>
                <w:b w:val="0"/>
                <w:color w:val="283441"/>
                <w:sz w:val="18"/>
              </w:rPr>
              <w:t>loan_status (binary; confirm original coding documentation)</w:t>
            </w:r>
          </w:p>
        </w:tc>
      </w:tr>
      <w:tr>
        <w:tc>
          <w:tcPr>
            <w:tcW w:type="dxa" w:w="4968"/>
            <w:vAlign w:val="center"/>
          </w:tcPr>
          <w:p>
            <w:pPr>
              <w:spacing w:after="0"/>
            </w:pPr>
            <w:r/>
            <w:r>
              <w:rPr>
                <w:rFonts w:ascii="Aptos" w:hAnsi="Aptos"/>
                <w:b w:val="0"/>
                <w:color w:val="283441"/>
                <w:sz w:val="18"/>
              </w:rPr>
              <w:t>Main numeric fields</w:t>
            </w:r>
          </w:p>
        </w:tc>
        <w:tc>
          <w:tcPr>
            <w:tcW w:type="dxa" w:w="4968"/>
            <w:vAlign w:val="center"/>
          </w:tcPr>
          <w:p>
            <w:pPr>
              <w:spacing w:after="0"/>
            </w:pPr>
            <w:r/>
            <w:r>
              <w:rPr>
                <w:rFonts w:ascii="Aptos" w:hAnsi="Aptos"/>
                <w:b w:val="0"/>
                <w:color w:val="283441"/>
                <w:sz w:val="18"/>
              </w:rPr>
              <w:t>Income, employment length, loan amount, interest rate, loan-to-income ratio, credit-history length</w:t>
            </w:r>
          </w:p>
        </w:tc>
      </w:tr>
      <w:tr>
        <w:tc>
          <w:tcPr>
            <w:tcW w:type="dxa" w:w="4968"/>
            <w:vAlign w:val="center"/>
            <w:shd w:fill="EEF1F3"/>
          </w:tcPr>
          <w:p>
            <w:pPr>
              <w:spacing w:after="0"/>
            </w:pPr>
            <w:r/>
            <w:r>
              <w:rPr>
                <w:rFonts w:ascii="Aptos" w:hAnsi="Aptos"/>
                <w:b w:val="0"/>
                <w:color w:val="283441"/>
                <w:sz w:val="18"/>
              </w:rPr>
              <w:t>Main categorical fields</w:t>
            </w:r>
          </w:p>
        </w:tc>
        <w:tc>
          <w:tcPr>
            <w:tcW w:type="dxa" w:w="4968"/>
            <w:vAlign w:val="center"/>
            <w:shd w:fill="EEF1F3"/>
          </w:tcPr>
          <w:p>
            <w:pPr>
              <w:spacing w:after="0"/>
            </w:pPr>
            <w:r/>
            <w:r>
              <w:rPr>
                <w:rFonts w:ascii="Aptos" w:hAnsi="Aptos"/>
                <w:b w:val="0"/>
                <w:color w:val="283441"/>
                <w:sz w:val="18"/>
              </w:rPr>
              <w:t>Home ownership, loan purpose, loan grade, prior default flag</w:t>
            </w:r>
          </w:p>
        </w:tc>
      </w:tr>
    </w:tbl>
    <w:p/>
    <w:p>
      <w:pPr>
        <w:pStyle w:val="Heading1"/>
      </w:pPr>
      <w:r>
        <w:t>5. Data Preparation and Quality Checks</w:t>
      </w:r>
    </w:p>
    <w:p>
      <w:r>
        <w:t>The source file contains 4,011 missing cells across all columns and 165 duplicate rows before deduplication. The analysis copy removes duplicate rows. To prevent implausible values from distorting age and employment-length summaries, ages above 100 years (5 records in the original file) and employment lengths above 60 years (2 records) are set to missing in the analysis copy. These records are not deleted solely because of those values; only the affected fields are excluded from related summaries.</w:t>
      </w:r>
    </w:p>
    <w:p>
      <w:r>
        <w:t>The cleaned file generated by the earlier script may have a different row count if it has already been saved. For reproducibility, this report states the checks applied to the source file within this report-generation process.</w:t>
      </w:r>
    </w:p>
    <w:p>
      <w:pPr>
        <w:pStyle w:val="Heading1"/>
      </w:pPr>
      <w:r>
        <w:t>6. Key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B2733"/>
          </w:tcPr>
          <w:p>
            <w:pPr>
              <w:spacing w:after="0"/>
            </w:pPr>
            <w:r/>
            <w:r>
              <w:rPr>
                <w:rFonts w:ascii="Aptos" w:hAnsi="Aptos"/>
                <w:b/>
                <w:color w:val="F0EEE8"/>
                <w:sz w:val="18"/>
              </w:rPr>
              <w:t>Metric</w:t>
            </w:r>
          </w:p>
        </w:tc>
        <w:tc>
          <w:tcPr>
            <w:tcW w:type="dxa" w:w="4968"/>
            <w:vAlign w:val="center"/>
            <w:shd w:fill="1B2733"/>
          </w:tcPr>
          <w:p>
            <w:pPr>
              <w:spacing w:after="0"/>
            </w:pPr>
            <w:r/>
            <w:r>
              <w:rPr>
                <w:rFonts w:ascii="Aptos" w:hAnsi="Aptos"/>
                <w:b/>
                <w:color w:val="F0EEE8"/>
                <w:sz w:val="18"/>
              </w:rPr>
              <w:t>Result</w:t>
            </w:r>
          </w:p>
        </w:tc>
      </w:tr>
      <w:tr>
        <w:tc>
          <w:tcPr>
            <w:tcW w:type="dxa" w:w="4968"/>
            <w:vAlign w:val="center"/>
          </w:tcPr>
          <w:p>
            <w:pPr>
              <w:spacing w:after="0"/>
            </w:pPr>
            <w:r/>
            <w:r>
              <w:rPr>
                <w:rFonts w:ascii="Aptos" w:hAnsi="Aptos"/>
                <w:b w:val="0"/>
                <w:color w:val="283441"/>
                <w:sz w:val="18"/>
              </w:rPr>
              <w:t>Records analyzed after duplicate removal</w:t>
            </w:r>
          </w:p>
        </w:tc>
        <w:tc>
          <w:tcPr>
            <w:tcW w:type="dxa" w:w="4968"/>
            <w:vAlign w:val="center"/>
          </w:tcPr>
          <w:p>
            <w:pPr>
              <w:spacing w:after="0"/>
            </w:pPr>
            <w:r/>
            <w:r>
              <w:rPr>
                <w:rFonts w:ascii="Aptos" w:hAnsi="Aptos"/>
                <w:b w:val="0"/>
                <w:color w:val="283441"/>
                <w:sz w:val="18"/>
              </w:rPr>
              <w:t>32,416</w:t>
            </w:r>
          </w:p>
        </w:tc>
      </w:tr>
      <w:tr>
        <w:tc>
          <w:tcPr>
            <w:tcW w:type="dxa" w:w="4968"/>
            <w:vAlign w:val="center"/>
            <w:shd w:fill="EEF1F3"/>
          </w:tcPr>
          <w:p>
            <w:pPr>
              <w:spacing w:after="0"/>
            </w:pPr>
            <w:r/>
            <w:r>
              <w:rPr>
                <w:rFonts w:ascii="Aptos" w:hAnsi="Aptos"/>
                <w:b w:val="0"/>
                <w:color w:val="283441"/>
                <w:sz w:val="18"/>
              </w:rPr>
              <w:t>Records coded loan_status = 1</w:t>
            </w:r>
          </w:p>
        </w:tc>
        <w:tc>
          <w:tcPr>
            <w:tcW w:type="dxa" w:w="4968"/>
            <w:vAlign w:val="center"/>
            <w:shd w:fill="EEF1F3"/>
          </w:tcPr>
          <w:p>
            <w:pPr>
              <w:spacing w:after="0"/>
            </w:pPr>
            <w:r/>
            <w:r>
              <w:rPr>
                <w:rFonts w:ascii="Aptos" w:hAnsi="Aptos"/>
                <w:b w:val="0"/>
                <w:color w:val="283441"/>
                <w:sz w:val="18"/>
              </w:rPr>
              <w:t>7,089 (21.87%)</w:t>
            </w:r>
          </w:p>
        </w:tc>
      </w:tr>
      <w:tr>
        <w:tc>
          <w:tcPr>
            <w:tcW w:type="dxa" w:w="4968"/>
            <w:vAlign w:val="center"/>
          </w:tcPr>
          <w:p>
            <w:pPr>
              <w:spacing w:after="0"/>
            </w:pPr>
            <w:r/>
            <w:r>
              <w:rPr>
                <w:rFonts w:ascii="Aptos" w:hAnsi="Aptos"/>
                <w:b w:val="0"/>
                <w:color w:val="283441"/>
                <w:sz w:val="18"/>
              </w:rPr>
              <w:t>Records coded loan_status = 0</w:t>
            </w:r>
          </w:p>
        </w:tc>
        <w:tc>
          <w:tcPr>
            <w:tcW w:type="dxa" w:w="4968"/>
            <w:vAlign w:val="center"/>
          </w:tcPr>
          <w:p>
            <w:pPr>
              <w:spacing w:after="0"/>
            </w:pPr>
            <w:r/>
            <w:r>
              <w:rPr>
                <w:rFonts w:ascii="Aptos" w:hAnsi="Aptos"/>
                <w:b w:val="0"/>
                <w:color w:val="283441"/>
                <w:sz w:val="18"/>
              </w:rPr>
              <w:t>25,327 (78.13%)</w:t>
            </w:r>
          </w:p>
        </w:tc>
      </w:tr>
      <w:tr>
        <w:tc>
          <w:tcPr>
            <w:tcW w:type="dxa" w:w="4968"/>
            <w:vAlign w:val="center"/>
            <w:shd w:fill="EEF1F3"/>
          </w:tcPr>
          <w:p>
            <w:pPr>
              <w:spacing w:after="0"/>
            </w:pPr>
            <w:r/>
            <w:r>
              <w:rPr>
                <w:rFonts w:ascii="Aptos" w:hAnsi="Aptos"/>
                <w:b w:val="0"/>
                <w:color w:val="283441"/>
                <w:sz w:val="18"/>
              </w:rPr>
              <w:t>Average loan amount</w:t>
            </w:r>
          </w:p>
        </w:tc>
        <w:tc>
          <w:tcPr>
            <w:tcW w:type="dxa" w:w="4968"/>
            <w:vAlign w:val="center"/>
            <w:shd w:fill="EEF1F3"/>
          </w:tcPr>
          <w:p>
            <w:pPr>
              <w:spacing w:after="0"/>
            </w:pPr>
            <w:r/>
            <w:r>
              <w:rPr>
                <w:rFonts w:ascii="Aptos" w:hAnsi="Aptos"/>
                <w:b w:val="0"/>
                <w:color w:val="283441"/>
                <w:sz w:val="18"/>
              </w:rPr>
              <w:t>$9,593.85</w:t>
            </w:r>
          </w:p>
        </w:tc>
      </w:tr>
      <w:tr>
        <w:tc>
          <w:tcPr>
            <w:tcW w:type="dxa" w:w="4968"/>
            <w:vAlign w:val="center"/>
          </w:tcPr>
          <w:p>
            <w:pPr>
              <w:spacing w:after="0"/>
            </w:pPr>
            <w:r/>
            <w:r>
              <w:rPr>
                <w:rFonts w:ascii="Aptos" w:hAnsi="Aptos"/>
                <w:b w:val="0"/>
                <w:color w:val="283441"/>
                <w:sz w:val="18"/>
              </w:rPr>
              <w:t>Median loan amount</w:t>
            </w:r>
          </w:p>
        </w:tc>
        <w:tc>
          <w:tcPr>
            <w:tcW w:type="dxa" w:w="4968"/>
            <w:vAlign w:val="center"/>
          </w:tcPr>
          <w:p>
            <w:pPr>
              <w:spacing w:after="0"/>
            </w:pPr>
            <w:r/>
            <w:r>
              <w:rPr>
                <w:rFonts w:ascii="Aptos" w:hAnsi="Aptos"/>
                <w:b w:val="0"/>
                <w:color w:val="283441"/>
                <w:sz w:val="18"/>
              </w:rPr>
              <w:t>$8,000.00</w:t>
            </w:r>
          </w:p>
        </w:tc>
      </w:tr>
      <w:tr>
        <w:tc>
          <w:tcPr>
            <w:tcW w:type="dxa" w:w="4968"/>
            <w:vAlign w:val="center"/>
            <w:shd w:fill="EEF1F3"/>
          </w:tcPr>
          <w:p>
            <w:pPr>
              <w:spacing w:after="0"/>
            </w:pPr>
            <w:r/>
            <w:r>
              <w:rPr>
                <w:rFonts w:ascii="Aptos" w:hAnsi="Aptos"/>
                <w:b w:val="0"/>
                <w:color w:val="283441"/>
                <w:sz w:val="18"/>
              </w:rPr>
              <w:t>Average interest rate</w:t>
            </w:r>
          </w:p>
        </w:tc>
        <w:tc>
          <w:tcPr>
            <w:tcW w:type="dxa" w:w="4968"/>
            <w:vAlign w:val="center"/>
            <w:shd w:fill="EEF1F3"/>
          </w:tcPr>
          <w:p>
            <w:pPr>
              <w:spacing w:after="0"/>
            </w:pPr>
            <w:r/>
            <w:r>
              <w:rPr>
                <w:rFonts w:ascii="Aptos" w:hAnsi="Aptos"/>
                <w:b w:val="0"/>
                <w:color w:val="283441"/>
                <w:sz w:val="18"/>
              </w:rPr>
              <w:t>11.02%</w:t>
            </w:r>
          </w:p>
        </w:tc>
      </w:tr>
      <w:tr>
        <w:tc>
          <w:tcPr>
            <w:tcW w:type="dxa" w:w="4968"/>
            <w:vAlign w:val="center"/>
          </w:tcPr>
          <w:p>
            <w:pPr>
              <w:spacing w:after="0"/>
            </w:pPr>
            <w:r/>
            <w:r>
              <w:rPr>
                <w:rFonts w:ascii="Aptos" w:hAnsi="Aptos"/>
                <w:b w:val="0"/>
                <w:color w:val="283441"/>
                <w:sz w:val="18"/>
              </w:rPr>
              <w:t>Average annual income</w:t>
            </w:r>
          </w:p>
        </w:tc>
        <w:tc>
          <w:tcPr>
            <w:tcW w:type="dxa" w:w="4968"/>
            <w:vAlign w:val="center"/>
          </w:tcPr>
          <w:p>
            <w:pPr>
              <w:spacing w:after="0"/>
            </w:pPr>
            <w:r/>
            <w:r>
              <w:rPr>
                <w:rFonts w:ascii="Aptos" w:hAnsi="Aptos"/>
                <w:b w:val="0"/>
                <w:color w:val="283441"/>
                <w:sz w:val="18"/>
              </w:rPr>
              <w:t>$66,091.64</w:t>
            </w:r>
          </w:p>
        </w:tc>
      </w:tr>
      <w:tr>
        <w:tc>
          <w:tcPr>
            <w:tcW w:type="dxa" w:w="4968"/>
            <w:vAlign w:val="center"/>
            <w:shd w:fill="EEF1F3"/>
          </w:tcPr>
          <w:p>
            <w:pPr>
              <w:spacing w:after="0"/>
            </w:pPr>
            <w:r/>
            <w:r>
              <w:rPr>
                <w:rFonts w:ascii="Aptos" w:hAnsi="Aptos"/>
                <w:b w:val="0"/>
                <w:color w:val="283441"/>
                <w:sz w:val="18"/>
              </w:rPr>
              <w:t>Median annual income</w:t>
            </w:r>
          </w:p>
        </w:tc>
        <w:tc>
          <w:tcPr>
            <w:tcW w:type="dxa" w:w="4968"/>
            <w:vAlign w:val="center"/>
            <w:shd w:fill="EEF1F3"/>
          </w:tcPr>
          <w:p>
            <w:pPr>
              <w:spacing w:after="0"/>
            </w:pPr>
            <w:r/>
            <w:r>
              <w:rPr>
                <w:rFonts w:ascii="Aptos" w:hAnsi="Aptos"/>
                <w:b w:val="0"/>
                <w:color w:val="283441"/>
                <w:sz w:val="18"/>
              </w:rPr>
              <w:t>$55,000.00</w:t>
            </w:r>
          </w:p>
        </w:tc>
      </w:tr>
      <w:tr>
        <w:tc>
          <w:tcPr>
            <w:tcW w:type="dxa" w:w="4968"/>
            <w:vAlign w:val="center"/>
          </w:tcPr>
          <w:p>
            <w:pPr>
              <w:spacing w:after="0"/>
            </w:pPr>
            <w:r/>
            <w:r>
              <w:rPr>
                <w:rFonts w:ascii="Aptos" w:hAnsi="Aptos"/>
                <w:b w:val="0"/>
                <w:color w:val="283441"/>
                <w:sz w:val="18"/>
              </w:rPr>
              <w:t>Average loan-to-income ratio</w:t>
            </w:r>
          </w:p>
        </w:tc>
        <w:tc>
          <w:tcPr>
            <w:tcW w:type="dxa" w:w="4968"/>
            <w:vAlign w:val="center"/>
          </w:tcPr>
          <w:p>
            <w:pPr>
              <w:spacing w:after="0"/>
            </w:pPr>
            <w:r/>
            <w:r>
              <w:rPr>
                <w:rFonts w:ascii="Aptos" w:hAnsi="Aptos"/>
                <w:b w:val="0"/>
                <w:color w:val="283441"/>
                <w:sz w:val="18"/>
              </w:rPr>
              <w:t>17.02%</w:t>
            </w:r>
          </w:p>
        </w:tc>
      </w:tr>
    </w:tbl>
    <w:p/>
    <w:p>
      <w:pPr>
        <w:pStyle w:val="Heading1"/>
      </w:pPr>
      <w:r>
        <w:t>7. Outcome Rate by Loan Grade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2733"/>
          </w:tcPr>
          <w:p>
            <w:pPr>
              <w:spacing w:after="0"/>
            </w:pPr>
            <w:r/>
            <w:r>
              <w:rPr>
                <w:rFonts w:ascii="Aptos" w:hAnsi="Aptos"/>
                <w:b/>
                <w:color w:val="F0EEE8"/>
                <w:sz w:val="18"/>
              </w:rPr>
              <w:t>Loan grade</w:t>
            </w:r>
          </w:p>
        </w:tc>
        <w:tc>
          <w:tcPr>
            <w:tcW w:type="dxa" w:w="3312"/>
            <w:vAlign w:val="center"/>
            <w:shd w:fill="1B2733"/>
          </w:tcPr>
          <w:p>
            <w:pPr>
              <w:spacing w:after="0"/>
            </w:pPr>
            <w:r/>
            <w:r>
              <w:rPr>
                <w:rFonts w:ascii="Aptos" w:hAnsi="Aptos"/>
                <w:b/>
                <w:color w:val="F0EEE8"/>
                <w:sz w:val="18"/>
              </w:rPr>
              <w:t>Number of records</w:t>
            </w:r>
          </w:p>
        </w:tc>
        <w:tc>
          <w:tcPr>
            <w:tcW w:type="dxa" w:w="3312"/>
            <w:vAlign w:val="center"/>
            <w:shd w:fill="1B2733"/>
          </w:tcPr>
          <w:p>
            <w:pPr>
              <w:spacing w:after="0"/>
            </w:pPr>
            <w:r/>
            <w:r>
              <w:rPr>
                <w:rFonts w:ascii="Aptos" w:hAnsi="Aptos"/>
                <w:b/>
                <w:color w:val="F0EEE8"/>
                <w:sz w:val="18"/>
              </w:rPr>
              <w:t>Status 1 rate</w:t>
            </w:r>
          </w:p>
        </w:tc>
      </w:tr>
      <w:tr>
        <w:tc>
          <w:tcPr>
            <w:tcW w:type="dxa" w:w="3312"/>
            <w:vAlign w:val="center"/>
          </w:tcPr>
          <w:p>
            <w:pPr>
              <w:spacing w:after="0"/>
            </w:pPr>
            <w:r/>
            <w:r>
              <w:rPr>
                <w:rFonts w:ascii="Aptos" w:hAnsi="Aptos"/>
                <w:b w:val="0"/>
                <w:color w:val="283441"/>
                <w:sz w:val="18"/>
              </w:rPr>
              <w:t>A</w:t>
            </w:r>
          </w:p>
        </w:tc>
        <w:tc>
          <w:tcPr>
            <w:tcW w:type="dxa" w:w="3312"/>
            <w:vAlign w:val="center"/>
          </w:tcPr>
          <w:p>
            <w:pPr>
              <w:spacing w:after="0"/>
            </w:pPr>
            <w:r/>
            <w:r>
              <w:rPr>
                <w:rFonts w:ascii="Aptos" w:hAnsi="Aptos"/>
                <w:b w:val="0"/>
                <w:color w:val="283441"/>
                <w:sz w:val="18"/>
              </w:rPr>
              <w:t>10,703</w:t>
            </w:r>
          </w:p>
        </w:tc>
        <w:tc>
          <w:tcPr>
            <w:tcW w:type="dxa" w:w="3312"/>
            <w:vAlign w:val="center"/>
          </w:tcPr>
          <w:p>
            <w:pPr>
              <w:spacing w:after="0"/>
            </w:pPr>
            <w:r/>
            <w:r>
              <w:rPr>
                <w:rFonts w:ascii="Aptos" w:hAnsi="Aptos"/>
                <w:b w:val="0"/>
                <w:color w:val="283441"/>
                <w:sz w:val="18"/>
              </w:rPr>
              <w:t>9.96%</w:t>
            </w:r>
          </w:p>
        </w:tc>
      </w:tr>
      <w:tr>
        <w:tc>
          <w:tcPr>
            <w:tcW w:type="dxa" w:w="3312"/>
            <w:vAlign w:val="center"/>
            <w:shd w:fill="EEF1F3"/>
          </w:tcPr>
          <w:p>
            <w:pPr>
              <w:spacing w:after="0"/>
            </w:pPr>
            <w:r/>
            <w:r>
              <w:rPr>
                <w:rFonts w:ascii="Aptos" w:hAnsi="Aptos"/>
                <w:b w:val="0"/>
                <w:color w:val="283441"/>
                <w:sz w:val="18"/>
              </w:rPr>
              <w:t>B</w:t>
            </w:r>
          </w:p>
        </w:tc>
        <w:tc>
          <w:tcPr>
            <w:tcW w:type="dxa" w:w="3312"/>
            <w:vAlign w:val="center"/>
            <w:shd w:fill="EEF1F3"/>
          </w:tcPr>
          <w:p>
            <w:pPr>
              <w:spacing w:after="0"/>
            </w:pPr>
            <w:r/>
            <w:r>
              <w:rPr>
                <w:rFonts w:ascii="Aptos" w:hAnsi="Aptos"/>
                <w:b w:val="0"/>
                <w:color w:val="283441"/>
                <w:sz w:val="18"/>
              </w:rPr>
              <w:t>10,387</w:t>
            </w:r>
          </w:p>
        </w:tc>
        <w:tc>
          <w:tcPr>
            <w:tcW w:type="dxa" w:w="3312"/>
            <w:vAlign w:val="center"/>
            <w:shd w:fill="EEF1F3"/>
          </w:tcPr>
          <w:p>
            <w:pPr>
              <w:spacing w:after="0"/>
            </w:pPr>
            <w:r/>
            <w:r>
              <w:rPr>
                <w:rFonts w:ascii="Aptos" w:hAnsi="Aptos"/>
                <w:b w:val="0"/>
                <w:color w:val="283441"/>
                <w:sz w:val="18"/>
              </w:rPr>
              <w:t>16.32%</w:t>
            </w:r>
          </w:p>
        </w:tc>
      </w:tr>
      <w:tr>
        <w:tc>
          <w:tcPr>
            <w:tcW w:type="dxa" w:w="3312"/>
            <w:vAlign w:val="center"/>
          </w:tcPr>
          <w:p>
            <w:pPr>
              <w:spacing w:after="0"/>
            </w:pPr>
            <w:r/>
            <w:r>
              <w:rPr>
                <w:rFonts w:ascii="Aptos" w:hAnsi="Aptos"/>
                <w:b w:val="0"/>
                <w:color w:val="283441"/>
                <w:sz w:val="18"/>
              </w:rPr>
              <w:t>C</w:t>
            </w:r>
          </w:p>
        </w:tc>
        <w:tc>
          <w:tcPr>
            <w:tcW w:type="dxa" w:w="3312"/>
            <w:vAlign w:val="center"/>
          </w:tcPr>
          <w:p>
            <w:pPr>
              <w:spacing w:after="0"/>
            </w:pPr>
            <w:r/>
            <w:r>
              <w:rPr>
                <w:rFonts w:ascii="Aptos" w:hAnsi="Aptos"/>
                <w:b w:val="0"/>
                <w:color w:val="283441"/>
                <w:sz w:val="18"/>
              </w:rPr>
              <w:t>6,438</w:t>
            </w:r>
          </w:p>
        </w:tc>
        <w:tc>
          <w:tcPr>
            <w:tcW w:type="dxa" w:w="3312"/>
            <w:vAlign w:val="center"/>
          </w:tcPr>
          <w:p>
            <w:pPr>
              <w:spacing w:after="0"/>
            </w:pPr>
            <w:r/>
            <w:r>
              <w:rPr>
                <w:rFonts w:ascii="Aptos" w:hAnsi="Aptos"/>
                <w:b w:val="0"/>
                <w:color w:val="283441"/>
                <w:sz w:val="18"/>
              </w:rPr>
              <w:t>20.75%</w:t>
            </w:r>
          </w:p>
        </w:tc>
      </w:tr>
      <w:tr>
        <w:tc>
          <w:tcPr>
            <w:tcW w:type="dxa" w:w="3312"/>
            <w:vAlign w:val="center"/>
            <w:shd w:fill="EEF1F3"/>
          </w:tcPr>
          <w:p>
            <w:pPr>
              <w:spacing w:after="0"/>
            </w:pPr>
            <w:r/>
            <w:r>
              <w:rPr>
                <w:rFonts w:ascii="Aptos" w:hAnsi="Aptos"/>
                <w:b w:val="0"/>
                <w:color w:val="283441"/>
                <w:sz w:val="18"/>
              </w:rPr>
              <w:t>D</w:t>
            </w:r>
          </w:p>
        </w:tc>
        <w:tc>
          <w:tcPr>
            <w:tcW w:type="dxa" w:w="3312"/>
            <w:vAlign w:val="center"/>
            <w:shd w:fill="EEF1F3"/>
          </w:tcPr>
          <w:p>
            <w:pPr>
              <w:spacing w:after="0"/>
            </w:pPr>
            <w:r/>
            <w:r>
              <w:rPr>
                <w:rFonts w:ascii="Aptos" w:hAnsi="Aptos"/>
                <w:b w:val="0"/>
                <w:color w:val="283441"/>
                <w:sz w:val="18"/>
              </w:rPr>
              <w:t>3,620</w:t>
            </w:r>
          </w:p>
        </w:tc>
        <w:tc>
          <w:tcPr>
            <w:tcW w:type="dxa" w:w="3312"/>
            <w:vAlign w:val="center"/>
            <w:shd w:fill="EEF1F3"/>
          </w:tcPr>
          <w:p>
            <w:pPr>
              <w:spacing w:after="0"/>
            </w:pPr>
            <w:r/>
            <w:r>
              <w:rPr>
                <w:rFonts w:ascii="Aptos" w:hAnsi="Aptos"/>
                <w:b w:val="0"/>
                <w:color w:val="283441"/>
                <w:sz w:val="18"/>
              </w:rPr>
              <w:t>59.06%</w:t>
            </w:r>
          </w:p>
        </w:tc>
      </w:tr>
      <w:tr>
        <w:tc>
          <w:tcPr>
            <w:tcW w:type="dxa" w:w="3312"/>
            <w:vAlign w:val="center"/>
          </w:tcPr>
          <w:p>
            <w:pPr>
              <w:spacing w:after="0"/>
            </w:pPr>
            <w:r/>
            <w:r>
              <w:rPr>
                <w:rFonts w:ascii="Aptos" w:hAnsi="Aptos"/>
                <w:b w:val="0"/>
                <w:color w:val="283441"/>
                <w:sz w:val="18"/>
              </w:rPr>
              <w:t>E</w:t>
            </w:r>
          </w:p>
        </w:tc>
        <w:tc>
          <w:tcPr>
            <w:tcW w:type="dxa" w:w="3312"/>
            <w:vAlign w:val="center"/>
          </w:tcPr>
          <w:p>
            <w:pPr>
              <w:spacing w:after="0"/>
            </w:pPr>
            <w:r/>
            <w:r>
              <w:rPr>
                <w:rFonts w:ascii="Aptos" w:hAnsi="Aptos"/>
                <w:b w:val="0"/>
                <w:color w:val="283441"/>
                <w:sz w:val="18"/>
              </w:rPr>
              <w:t>963</w:t>
            </w:r>
          </w:p>
        </w:tc>
        <w:tc>
          <w:tcPr>
            <w:tcW w:type="dxa" w:w="3312"/>
            <w:vAlign w:val="center"/>
          </w:tcPr>
          <w:p>
            <w:pPr>
              <w:spacing w:after="0"/>
            </w:pPr>
            <w:r/>
            <w:r>
              <w:rPr>
                <w:rFonts w:ascii="Aptos" w:hAnsi="Aptos"/>
                <w:b w:val="0"/>
                <w:color w:val="283441"/>
                <w:sz w:val="18"/>
              </w:rPr>
              <w:t>64.49%</w:t>
            </w:r>
          </w:p>
        </w:tc>
      </w:tr>
      <w:tr>
        <w:tc>
          <w:tcPr>
            <w:tcW w:type="dxa" w:w="3312"/>
            <w:vAlign w:val="center"/>
            <w:shd w:fill="EEF1F3"/>
          </w:tcPr>
          <w:p>
            <w:pPr>
              <w:spacing w:after="0"/>
            </w:pPr>
            <w:r/>
            <w:r>
              <w:rPr>
                <w:rFonts w:ascii="Aptos" w:hAnsi="Aptos"/>
                <w:b w:val="0"/>
                <w:color w:val="283441"/>
                <w:sz w:val="18"/>
              </w:rPr>
              <w:t>F</w:t>
            </w:r>
          </w:p>
        </w:tc>
        <w:tc>
          <w:tcPr>
            <w:tcW w:type="dxa" w:w="3312"/>
            <w:vAlign w:val="center"/>
            <w:shd w:fill="EEF1F3"/>
          </w:tcPr>
          <w:p>
            <w:pPr>
              <w:spacing w:after="0"/>
            </w:pPr>
            <w:r/>
            <w:r>
              <w:rPr>
                <w:rFonts w:ascii="Aptos" w:hAnsi="Aptos"/>
                <w:b w:val="0"/>
                <w:color w:val="283441"/>
                <w:sz w:val="18"/>
              </w:rPr>
              <w:t>241</w:t>
            </w:r>
          </w:p>
        </w:tc>
        <w:tc>
          <w:tcPr>
            <w:tcW w:type="dxa" w:w="3312"/>
            <w:vAlign w:val="center"/>
            <w:shd w:fill="EEF1F3"/>
          </w:tcPr>
          <w:p>
            <w:pPr>
              <w:spacing w:after="0"/>
            </w:pPr>
            <w:r/>
            <w:r>
              <w:rPr>
                <w:rFonts w:ascii="Aptos" w:hAnsi="Aptos"/>
                <w:b w:val="0"/>
                <w:color w:val="283441"/>
                <w:sz w:val="18"/>
              </w:rPr>
              <w:t>70.54%</w:t>
            </w:r>
          </w:p>
        </w:tc>
      </w:tr>
      <w:tr>
        <w:tc>
          <w:tcPr>
            <w:tcW w:type="dxa" w:w="3312"/>
            <w:vAlign w:val="center"/>
          </w:tcPr>
          <w:p>
            <w:pPr>
              <w:spacing w:after="0"/>
            </w:pPr>
            <w:r/>
            <w:r>
              <w:rPr>
                <w:rFonts w:ascii="Aptos" w:hAnsi="Aptos"/>
                <w:b w:val="0"/>
                <w:color w:val="283441"/>
                <w:sz w:val="18"/>
              </w:rPr>
              <w:t>G</w:t>
            </w:r>
          </w:p>
        </w:tc>
        <w:tc>
          <w:tcPr>
            <w:tcW w:type="dxa" w:w="3312"/>
            <w:vAlign w:val="center"/>
          </w:tcPr>
          <w:p>
            <w:pPr>
              <w:spacing w:after="0"/>
            </w:pPr>
            <w:r/>
            <w:r>
              <w:rPr>
                <w:rFonts w:ascii="Aptos" w:hAnsi="Aptos"/>
                <w:b w:val="0"/>
                <w:color w:val="283441"/>
                <w:sz w:val="18"/>
              </w:rPr>
              <w:t>64</w:t>
            </w:r>
          </w:p>
        </w:tc>
        <w:tc>
          <w:tcPr>
            <w:tcW w:type="dxa" w:w="3312"/>
            <w:vAlign w:val="center"/>
          </w:tcPr>
          <w:p>
            <w:pPr>
              <w:spacing w:after="0"/>
            </w:pPr>
            <w:r/>
            <w:r>
              <w:rPr>
                <w:rFonts w:ascii="Aptos" w:hAnsi="Aptos"/>
                <w:b w:val="0"/>
                <w:color w:val="283441"/>
                <w:sz w:val="18"/>
              </w:rPr>
              <w:t>98.44%</w:t>
            </w:r>
          </w:p>
        </w:tc>
      </w:tr>
    </w:tbl>
    <w:p/>
    <w:p>
      <w:r>
        <w:t>The highest observed status-1 rate by grade is G (98.44%, n=64); the lowest is A (9.96%, n=10,703). Grade-level differences should be checked against sample sizes and the grade-assignment methodology.</w:t>
      </w:r>
    </w:p>
    <w:p>
      <w:pPr>
        <w:pStyle w:val="Heading1"/>
      </w:pPr>
      <w:r>
        <w:t>8. Outcome Rate by Loan Purpose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2733"/>
          </w:tcPr>
          <w:p>
            <w:pPr>
              <w:spacing w:after="0"/>
            </w:pPr>
            <w:r/>
            <w:r>
              <w:rPr>
                <w:rFonts w:ascii="Aptos" w:hAnsi="Aptos"/>
                <w:b/>
                <w:color w:val="F0EEE8"/>
                <w:sz w:val="18"/>
              </w:rPr>
              <w:t>Loan purpose</w:t>
            </w:r>
          </w:p>
        </w:tc>
        <w:tc>
          <w:tcPr>
            <w:tcW w:type="dxa" w:w="3312"/>
            <w:vAlign w:val="center"/>
            <w:shd w:fill="1B2733"/>
          </w:tcPr>
          <w:p>
            <w:pPr>
              <w:spacing w:after="0"/>
            </w:pPr>
            <w:r/>
            <w:r>
              <w:rPr>
                <w:rFonts w:ascii="Aptos" w:hAnsi="Aptos"/>
                <w:b/>
                <w:color w:val="F0EEE8"/>
                <w:sz w:val="18"/>
              </w:rPr>
              <w:t>Number of records</w:t>
            </w:r>
          </w:p>
        </w:tc>
        <w:tc>
          <w:tcPr>
            <w:tcW w:type="dxa" w:w="3312"/>
            <w:vAlign w:val="center"/>
            <w:shd w:fill="1B2733"/>
          </w:tcPr>
          <w:p>
            <w:pPr>
              <w:spacing w:after="0"/>
            </w:pPr>
            <w:r/>
            <w:r>
              <w:rPr>
                <w:rFonts w:ascii="Aptos" w:hAnsi="Aptos"/>
                <w:b/>
                <w:color w:val="F0EEE8"/>
                <w:sz w:val="18"/>
              </w:rPr>
              <w:t>Status 1 rate</w:t>
            </w:r>
          </w:p>
        </w:tc>
      </w:tr>
      <w:tr>
        <w:tc>
          <w:tcPr>
            <w:tcW w:type="dxa" w:w="3312"/>
            <w:vAlign w:val="center"/>
          </w:tcPr>
          <w:p>
            <w:pPr>
              <w:spacing w:after="0"/>
            </w:pPr>
            <w:r/>
            <w:r>
              <w:rPr>
                <w:rFonts w:ascii="Aptos" w:hAnsi="Aptos"/>
                <w:b w:val="0"/>
                <w:color w:val="283441"/>
                <w:sz w:val="18"/>
              </w:rPr>
              <w:t>Debtconsolidation</w:t>
            </w:r>
          </w:p>
        </w:tc>
        <w:tc>
          <w:tcPr>
            <w:tcW w:type="dxa" w:w="3312"/>
            <w:vAlign w:val="center"/>
          </w:tcPr>
          <w:p>
            <w:pPr>
              <w:spacing w:after="0"/>
            </w:pPr>
            <w:r/>
            <w:r>
              <w:rPr>
                <w:rFonts w:ascii="Aptos" w:hAnsi="Aptos"/>
                <w:b w:val="0"/>
                <w:color w:val="283441"/>
                <w:sz w:val="18"/>
              </w:rPr>
              <w:t>5,189</w:t>
            </w:r>
          </w:p>
        </w:tc>
        <w:tc>
          <w:tcPr>
            <w:tcW w:type="dxa" w:w="3312"/>
            <w:vAlign w:val="center"/>
          </w:tcPr>
          <w:p>
            <w:pPr>
              <w:spacing w:after="0"/>
            </w:pPr>
            <w:r/>
            <w:r>
              <w:rPr>
                <w:rFonts w:ascii="Aptos" w:hAnsi="Aptos"/>
                <w:b w:val="0"/>
                <w:color w:val="283441"/>
                <w:sz w:val="18"/>
              </w:rPr>
              <w:t>28.68%</w:t>
            </w:r>
          </w:p>
        </w:tc>
      </w:tr>
      <w:tr>
        <w:tc>
          <w:tcPr>
            <w:tcW w:type="dxa" w:w="3312"/>
            <w:vAlign w:val="center"/>
            <w:shd w:fill="EEF1F3"/>
          </w:tcPr>
          <w:p>
            <w:pPr>
              <w:spacing w:after="0"/>
            </w:pPr>
            <w:r/>
            <w:r>
              <w:rPr>
                <w:rFonts w:ascii="Aptos" w:hAnsi="Aptos"/>
                <w:b w:val="0"/>
                <w:color w:val="283441"/>
                <w:sz w:val="18"/>
              </w:rPr>
              <w:t>Medical</w:t>
            </w:r>
          </w:p>
        </w:tc>
        <w:tc>
          <w:tcPr>
            <w:tcW w:type="dxa" w:w="3312"/>
            <w:vAlign w:val="center"/>
            <w:shd w:fill="EEF1F3"/>
          </w:tcPr>
          <w:p>
            <w:pPr>
              <w:spacing w:after="0"/>
            </w:pPr>
            <w:r/>
            <w:r>
              <w:rPr>
                <w:rFonts w:ascii="Aptos" w:hAnsi="Aptos"/>
                <w:b w:val="0"/>
                <w:color w:val="283441"/>
                <w:sz w:val="18"/>
              </w:rPr>
              <w:t>6,042</w:t>
            </w:r>
          </w:p>
        </w:tc>
        <w:tc>
          <w:tcPr>
            <w:tcW w:type="dxa" w:w="3312"/>
            <w:vAlign w:val="center"/>
            <w:shd w:fill="EEF1F3"/>
          </w:tcPr>
          <w:p>
            <w:pPr>
              <w:spacing w:after="0"/>
            </w:pPr>
            <w:r/>
            <w:r>
              <w:rPr>
                <w:rFonts w:ascii="Aptos" w:hAnsi="Aptos"/>
                <w:b w:val="0"/>
                <w:color w:val="283441"/>
                <w:sz w:val="18"/>
              </w:rPr>
              <w:t>26.76%</w:t>
            </w:r>
          </w:p>
        </w:tc>
      </w:tr>
      <w:tr>
        <w:tc>
          <w:tcPr>
            <w:tcW w:type="dxa" w:w="3312"/>
            <w:vAlign w:val="center"/>
          </w:tcPr>
          <w:p>
            <w:pPr>
              <w:spacing w:after="0"/>
            </w:pPr>
            <w:r/>
            <w:r>
              <w:rPr>
                <w:rFonts w:ascii="Aptos" w:hAnsi="Aptos"/>
                <w:b w:val="0"/>
                <w:color w:val="283441"/>
                <w:sz w:val="18"/>
              </w:rPr>
              <w:t>Homeimprovement</w:t>
            </w:r>
          </w:p>
        </w:tc>
        <w:tc>
          <w:tcPr>
            <w:tcW w:type="dxa" w:w="3312"/>
            <w:vAlign w:val="center"/>
          </w:tcPr>
          <w:p>
            <w:pPr>
              <w:spacing w:after="0"/>
            </w:pPr>
            <w:r/>
            <w:r>
              <w:rPr>
                <w:rFonts w:ascii="Aptos" w:hAnsi="Aptos"/>
                <w:b w:val="0"/>
                <w:color w:val="283441"/>
                <w:sz w:val="18"/>
              </w:rPr>
              <w:t>3,594</w:t>
            </w:r>
          </w:p>
        </w:tc>
        <w:tc>
          <w:tcPr>
            <w:tcW w:type="dxa" w:w="3312"/>
            <w:vAlign w:val="center"/>
          </w:tcPr>
          <w:p>
            <w:pPr>
              <w:spacing w:after="0"/>
            </w:pPr>
            <w:r/>
            <w:r>
              <w:rPr>
                <w:rFonts w:ascii="Aptos" w:hAnsi="Aptos"/>
                <w:b w:val="0"/>
                <w:color w:val="283441"/>
                <w:sz w:val="18"/>
              </w:rPr>
              <w:t>26.15%</w:t>
            </w:r>
          </w:p>
        </w:tc>
      </w:tr>
      <w:tr>
        <w:tc>
          <w:tcPr>
            <w:tcW w:type="dxa" w:w="3312"/>
            <w:vAlign w:val="center"/>
            <w:shd w:fill="EEF1F3"/>
          </w:tcPr>
          <w:p>
            <w:pPr>
              <w:spacing w:after="0"/>
            </w:pPr>
            <w:r/>
            <w:r>
              <w:rPr>
                <w:rFonts w:ascii="Aptos" w:hAnsi="Aptos"/>
                <w:b w:val="0"/>
                <w:color w:val="283441"/>
                <w:sz w:val="18"/>
              </w:rPr>
              <w:t>Personal</w:t>
            </w:r>
          </w:p>
        </w:tc>
        <w:tc>
          <w:tcPr>
            <w:tcW w:type="dxa" w:w="3312"/>
            <w:vAlign w:val="center"/>
            <w:shd w:fill="EEF1F3"/>
          </w:tcPr>
          <w:p>
            <w:pPr>
              <w:spacing w:after="0"/>
            </w:pPr>
            <w:r/>
            <w:r>
              <w:rPr>
                <w:rFonts w:ascii="Aptos" w:hAnsi="Aptos"/>
                <w:b w:val="0"/>
                <w:color w:val="283441"/>
                <w:sz w:val="18"/>
              </w:rPr>
              <w:t>5,498</w:t>
            </w:r>
          </w:p>
        </w:tc>
        <w:tc>
          <w:tcPr>
            <w:tcW w:type="dxa" w:w="3312"/>
            <w:vAlign w:val="center"/>
            <w:shd w:fill="EEF1F3"/>
          </w:tcPr>
          <w:p>
            <w:pPr>
              <w:spacing w:after="0"/>
            </w:pPr>
            <w:r/>
            <w:r>
              <w:rPr>
                <w:rFonts w:ascii="Aptos" w:hAnsi="Aptos"/>
                <w:b w:val="0"/>
                <w:color w:val="283441"/>
                <w:sz w:val="18"/>
              </w:rPr>
              <w:t>19.90%</w:t>
            </w:r>
          </w:p>
        </w:tc>
      </w:tr>
      <w:tr>
        <w:tc>
          <w:tcPr>
            <w:tcW w:type="dxa" w:w="3312"/>
            <w:vAlign w:val="center"/>
          </w:tcPr>
          <w:p>
            <w:pPr>
              <w:spacing w:after="0"/>
            </w:pPr>
            <w:r/>
            <w:r>
              <w:rPr>
                <w:rFonts w:ascii="Aptos" w:hAnsi="Aptos"/>
                <w:b w:val="0"/>
                <w:color w:val="283441"/>
                <w:sz w:val="18"/>
              </w:rPr>
              <w:t>Education</w:t>
            </w:r>
          </w:p>
        </w:tc>
        <w:tc>
          <w:tcPr>
            <w:tcW w:type="dxa" w:w="3312"/>
            <w:vAlign w:val="center"/>
          </w:tcPr>
          <w:p>
            <w:pPr>
              <w:spacing w:after="0"/>
            </w:pPr>
            <w:r/>
            <w:r>
              <w:rPr>
                <w:rFonts w:ascii="Aptos" w:hAnsi="Aptos"/>
                <w:b w:val="0"/>
                <w:color w:val="283441"/>
                <w:sz w:val="18"/>
              </w:rPr>
              <w:t>6,411</w:t>
            </w:r>
          </w:p>
        </w:tc>
        <w:tc>
          <w:tcPr>
            <w:tcW w:type="dxa" w:w="3312"/>
            <w:vAlign w:val="center"/>
          </w:tcPr>
          <w:p>
            <w:pPr>
              <w:spacing w:after="0"/>
            </w:pPr>
            <w:r/>
            <w:r>
              <w:rPr>
                <w:rFonts w:ascii="Aptos" w:hAnsi="Aptos"/>
                <w:b w:val="0"/>
                <w:color w:val="283441"/>
                <w:sz w:val="18"/>
              </w:rPr>
              <w:t>17.25%</w:t>
            </w:r>
          </w:p>
        </w:tc>
      </w:tr>
      <w:tr>
        <w:tc>
          <w:tcPr>
            <w:tcW w:type="dxa" w:w="3312"/>
            <w:vAlign w:val="center"/>
            <w:shd w:fill="EEF1F3"/>
          </w:tcPr>
          <w:p>
            <w:pPr>
              <w:spacing w:after="0"/>
            </w:pPr>
            <w:r/>
            <w:r>
              <w:rPr>
                <w:rFonts w:ascii="Aptos" w:hAnsi="Aptos"/>
                <w:b w:val="0"/>
                <w:color w:val="283441"/>
                <w:sz w:val="18"/>
              </w:rPr>
              <w:t>Venture</w:t>
            </w:r>
          </w:p>
        </w:tc>
        <w:tc>
          <w:tcPr>
            <w:tcW w:type="dxa" w:w="3312"/>
            <w:vAlign w:val="center"/>
            <w:shd w:fill="EEF1F3"/>
          </w:tcPr>
          <w:p>
            <w:pPr>
              <w:spacing w:after="0"/>
            </w:pPr>
            <w:r/>
            <w:r>
              <w:rPr>
                <w:rFonts w:ascii="Aptos" w:hAnsi="Aptos"/>
                <w:b w:val="0"/>
                <w:color w:val="283441"/>
                <w:sz w:val="18"/>
              </w:rPr>
              <w:t>5,682</w:t>
            </w:r>
          </w:p>
        </w:tc>
        <w:tc>
          <w:tcPr>
            <w:tcW w:type="dxa" w:w="3312"/>
            <w:vAlign w:val="center"/>
            <w:shd w:fill="EEF1F3"/>
          </w:tcPr>
          <w:p>
            <w:pPr>
              <w:spacing w:after="0"/>
            </w:pPr>
            <w:r/>
            <w:r>
              <w:rPr>
                <w:rFonts w:ascii="Aptos" w:hAnsi="Aptos"/>
                <w:b w:val="0"/>
                <w:color w:val="283441"/>
                <w:sz w:val="18"/>
              </w:rPr>
              <w:t>14.85%</w:t>
            </w:r>
          </w:p>
        </w:tc>
      </w:tr>
    </w:tbl>
    <w:p/>
    <w:p>
      <w:r>
        <w:t>The highest observed status-1 rate by purpose is for Debtconsolidation (28.68%, n=5,189). This is a portfolio-level pattern, not evidence that the purpose itself causes default.</w:t>
      </w:r>
    </w:p>
    <w:p>
      <w:pPr>
        <w:pStyle w:val="Heading1"/>
      </w:pPr>
      <w:r>
        <w:t>9. Outcome Rate by Home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2733"/>
          </w:tcPr>
          <w:p>
            <w:pPr>
              <w:spacing w:after="0"/>
            </w:pPr>
            <w:r/>
            <w:r>
              <w:rPr>
                <w:rFonts w:ascii="Aptos" w:hAnsi="Aptos"/>
                <w:b/>
                <w:color w:val="F0EEE8"/>
                <w:sz w:val="18"/>
              </w:rPr>
              <w:t>Home-ownership category</w:t>
            </w:r>
          </w:p>
        </w:tc>
        <w:tc>
          <w:tcPr>
            <w:tcW w:type="dxa" w:w="3312"/>
            <w:vAlign w:val="center"/>
            <w:shd w:fill="1B2733"/>
          </w:tcPr>
          <w:p>
            <w:pPr>
              <w:spacing w:after="0"/>
            </w:pPr>
            <w:r/>
            <w:r>
              <w:rPr>
                <w:rFonts w:ascii="Aptos" w:hAnsi="Aptos"/>
                <w:b/>
                <w:color w:val="F0EEE8"/>
                <w:sz w:val="18"/>
              </w:rPr>
              <w:t>Number of records</w:t>
            </w:r>
          </w:p>
        </w:tc>
        <w:tc>
          <w:tcPr>
            <w:tcW w:type="dxa" w:w="3312"/>
            <w:vAlign w:val="center"/>
            <w:shd w:fill="1B2733"/>
          </w:tcPr>
          <w:p>
            <w:pPr>
              <w:spacing w:after="0"/>
            </w:pPr>
            <w:r/>
            <w:r>
              <w:rPr>
                <w:rFonts w:ascii="Aptos" w:hAnsi="Aptos"/>
                <w:b/>
                <w:color w:val="F0EEE8"/>
                <w:sz w:val="18"/>
              </w:rPr>
              <w:t>Status 1 rate</w:t>
            </w:r>
          </w:p>
        </w:tc>
      </w:tr>
      <w:tr>
        <w:tc>
          <w:tcPr>
            <w:tcW w:type="dxa" w:w="3312"/>
            <w:vAlign w:val="center"/>
          </w:tcPr>
          <w:p>
            <w:pPr>
              <w:spacing w:after="0"/>
            </w:pPr>
            <w:r/>
            <w:r>
              <w:rPr>
                <w:rFonts w:ascii="Aptos" w:hAnsi="Aptos"/>
                <w:b w:val="0"/>
                <w:color w:val="283441"/>
                <w:sz w:val="18"/>
              </w:rPr>
              <w:t>Rent</w:t>
            </w:r>
          </w:p>
        </w:tc>
        <w:tc>
          <w:tcPr>
            <w:tcW w:type="dxa" w:w="3312"/>
            <w:vAlign w:val="center"/>
          </w:tcPr>
          <w:p>
            <w:pPr>
              <w:spacing w:after="0"/>
            </w:pPr>
            <w:r/>
            <w:r>
              <w:rPr>
                <w:rFonts w:ascii="Aptos" w:hAnsi="Aptos"/>
                <w:b w:val="0"/>
                <w:color w:val="283441"/>
                <w:sz w:val="18"/>
              </w:rPr>
              <w:t>16,378</w:t>
            </w:r>
          </w:p>
        </w:tc>
        <w:tc>
          <w:tcPr>
            <w:tcW w:type="dxa" w:w="3312"/>
            <w:vAlign w:val="center"/>
          </w:tcPr>
          <w:p>
            <w:pPr>
              <w:spacing w:after="0"/>
            </w:pPr>
            <w:r/>
            <w:r>
              <w:rPr>
                <w:rFonts w:ascii="Aptos" w:hAnsi="Aptos"/>
                <w:b w:val="0"/>
                <w:color w:val="283441"/>
                <w:sz w:val="18"/>
              </w:rPr>
              <w:t>31.61%</w:t>
            </w:r>
          </w:p>
        </w:tc>
      </w:tr>
      <w:tr>
        <w:tc>
          <w:tcPr>
            <w:tcW w:type="dxa" w:w="3312"/>
            <w:vAlign w:val="center"/>
            <w:shd w:fill="EEF1F3"/>
          </w:tcPr>
          <w:p>
            <w:pPr>
              <w:spacing w:after="0"/>
            </w:pPr>
            <w:r/>
            <w:r>
              <w:rPr>
                <w:rFonts w:ascii="Aptos" w:hAnsi="Aptos"/>
                <w:b w:val="0"/>
                <w:color w:val="283441"/>
                <w:sz w:val="18"/>
              </w:rPr>
              <w:t>Other</w:t>
            </w:r>
          </w:p>
        </w:tc>
        <w:tc>
          <w:tcPr>
            <w:tcW w:type="dxa" w:w="3312"/>
            <w:vAlign w:val="center"/>
            <w:shd w:fill="EEF1F3"/>
          </w:tcPr>
          <w:p>
            <w:pPr>
              <w:spacing w:after="0"/>
            </w:pPr>
            <w:r/>
            <w:r>
              <w:rPr>
                <w:rFonts w:ascii="Aptos" w:hAnsi="Aptos"/>
                <w:b w:val="0"/>
                <w:color w:val="283441"/>
                <w:sz w:val="18"/>
              </w:rPr>
              <w:t>106</w:t>
            </w:r>
          </w:p>
        </w:tc>
        <w:tc>
          <w:tcPr>
            <w:tcW w:type="dxa" w:w="3312"/>
            <w:vAlign w:val="center"/>
            <w:shd w:fill="EEF1F3"/>
          </w:tcPr>
          <w:p>
            <w:pPr>
              <w:spacing w:after="0"/>
            </w:pPr>
            <w:r/>
            <w:r>
              <w:rPr>
                <w:rFonts w:ascii="Aptos" w:hAnsi="Aptos"/>
                <w:b w:val="0"/>
                <w:color w:val="283441"/>
                <w:sz w:val="18"/>
              </w:rPr>
              <w:t>31.13%</w:t>
            </w:r>
          </w:p>
        </w:tc>
      </w:tr>
      <w:tr>
        <w:tc>
          <w:tcPr>
            <w:tcW w:type="dxa" w:w="3312"/>
            <w:vAlign w:val="center"/>
          </w:tcPr>
          <w:p>
            <w:pPr>
              <w:spacing w:after="0"/>
            </w:pPr>
            <w:r/>
            <w:r>
              <w:rPr>
                <w:rFonts w:ascii="Aptos" w:hAnsi="Aptos"/>
                <w:b w:val="0"/>
                <w:color w:val="283441"/>
                <w:sz w:val="18"/>
              </w:rPr>
              <w:t>Mortgage</w:t>
            </w:r>
          </w:p>
        </w:tc>
        <w:tc>
          <w:tcPr>
            <w:tcW w:type="dxa" w:w="3312"/>
            <w:vAlign w:val="center"/>
          </w:tcPr>
          <w:p>
            <w:pPr>
              <w:spacing w:after="0"/>
            </w:pPr>
            <w:r/>
            <w:r>
              <w:rPr>
                <w:rFonts w:ascii="Aptos" w:hAnsi="Aptos"/>
                <w:b w:val="0"/>
                <w:color w:val="283441"/>
                <w:sz w:val="18"/>
              </w:rPr>
              <w:t>13,369</w:t>
            </w:r>
          </w:p>
        </w:tc>
        <w:tc>
          <w:tcPr>
            <w:tcW w:type="dxa" w:w="3312"/>
            <w:vAlign w:val="center"/>
          </w:tcPr>
          <w:p>
            <w:pPr>
              <w:spacing w:after="0"/>
            </w:pPr>
            <w:r/>
            <w:r>
              <w:rPr>
                <w:rFonts w:ascii="Aptos" w:hAnsi="Aptos"/>
                <w:b w:val="0"/>
                <w:color w:val="283441"/>
                <w:sz w:val="18"/>
              </w:rPr>
              <w:t>12.62%</w:t>
            </w:r>
          </w:p>
        </w:tc>
      </w:tr>
      <w:tr>
        <w:tc>
          <w:tcPr>
            <w:tcW w:type="dxa" w:w="3312"/>
            <w:vAlign w:val="center"/>
            <w:shd w:fill="EEF1F3"/>
          </w:tcPr>
          <w:p>
            <w:pPr>
              <w:spacing w:after="0"/>
            </w:pPr>
            <w:r/>
            <w:r>
              <w:rPr>
                <w:rFonts w:ascii="Aptos" w:hAnsi="Aptos"/>
                <w:b w:val="0"/>
                <w:color w:val="283441"/>
                <w:sz w:val="18"/>
              </w:rPr>
              <w:t>Own</w:t>
            </w:r>
          </w:p>
        </w:tc>
        <w:tc>
          <w:tcPr>
            <w:tcW w:type="dxa" w:w="3312"/>
            <w:vAlign w:val="center"/>
            <w:shd w:fill="EEF1F3"/>
          </w:tcPr>
          <w:p>
            <w:pPr>
              <w:spacing w:after="0"/>
            </w:pPr>
            <w:r/>
            <w:r>
              <w:rPr>
                <w:rFonts w:ascii="Aptos" w:hAnsi="Aptos"/>
                <w:b w:val="0"/>
                <w:color w:val="283441"/>
                <w:sz w:val="18"/>
              </w:rPr>
              <w:t>2,563</w:t>
            </w:r>
          </w:p>
        </w:tc>
        <w:tc>
          <w:tcPr>
            <w:tcW w:type="dxa" w:w="3312"/>
            <w:vAlign w:val="center"/>
            <w:shd w:fill="EEF1F3"/>
          </w:tcPr>
          <w:p>
            <w:pPr>
              <w:spacing w:after="0"/>
            </w:pPr>
            <w:r/>
            <w:r>
              <w:rPr>
                <w:rFonts w:ascii="Aptos" w:hAnsi="Aptos"/>
                <w:b w:val="0"/>
                <w:color w:val="283441"/>
                <w:sz w:val="18"/>
              </w:rPr>
              <w:t>7.49%</w:t>
            </w:r>
          </w:p>
        </w:tc>
      </w:tr>
    </w:tbl>
    <w:p/>
    <w:p>
      <w:r>
        <w:t>Home-ownership categories may reflect broader financial and socioeconomic differences. They should not be used as a sole basis for an individual lending decision; assess relevance, legality, and fairness.</w:t>
      </w:r>
    </w:p>
    <w:p>
      <w:pPr>
        <w:pStyle w:val="Heading1"/>
      </w:pPr>
      <w:r>
        <w:t>10. Interest Rate and Credit Exposure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2733"/>
          </w:tcPr>
          <w:p>
            <w:pPr>
              <w:spacing w:after="0"/>
            </w:pPr>
            <w:r/>
            <w:r>
              <w:rPr>
                <w:rFonts w:ascii="Aptos" w:hAnsi="Aptos"/>
                <w:b/>
                <w:color w:val="F0EEE8"/>
                <w:sz w:val="18"/>
              </w:rPr>
              <w:t>Loan status code</w:t>
            </w:r>
          </w:p>
        </w:tc>
        <w:tc>
          <w:tcPr>
            <w:tcW w:type="dxa" w:w="3312"/>
            <w:vAlign w:val="center"/>
            <w:shd w:fill="1B2733"/>
          </w:tcPr>
          <w:p>
            <w:pPr>
              <w:spacing w:after="0"/>
            </w:pPr>
            <w:r/>
            <w:r>
              <w:rPr>
                <w:rFonts w:ascii="Aptos" w:hAnsi="Aptos"/>
                <w:b/>
                <w:color w:val="F0EEE8"/>
                <w:sz w:val="18"/>
              </w:rPr>
              <w:t>Number of records</w:t>
            </w:r>
          </w:p>
        </w:tc>
        <w:tc>
          <w:tcPr>
            <w:tcW w:type="dxa" w:w="3312"/>
            <w:vAlign w:val="center"/>
            <w:shd w:fill="1B2733"/>
          </w:tcPr>
          <w:p>
            <w:pPr>
              <w:spacing w:after="0"/>
            </w:pPr>
            <w:r/>
            <w:r>
              <w:rPr>
                <w:rFonts w:ascii="Aptos" w:hAnsi="Aptos"/>
                <w:b/>
                <w:color w:val="F0EEE8"/>
                <w:sz w:val="18"/>
              </w:rPr>
              <w:t>Average interest rate</w:t>
            </w:r>
          </w:p>
        </w:tc>
      </w:tr>
      <w:tr>
        <w:tc>
          <w:tcPr>
            <w:tcW w:type="dxa" w:w="3312"/>
            <w:vAlign w:val="center"/>
          </w:tcPr>
          <w:p>
            <w:pPr>
              <w:spacing w:after="0"/>
            </w:pPr>
            <w:r/>
            <w:r>
              <w:rPr>
                <w:rFonts w:ascii="Aptos" w:hAnsi="Aptos"/>
                <w:b w:val="0"/>
                <w:color w:val="283441"/>
                <w:sz w:val="18"/>
              </w:rPr>
              <w:t>Status 0</w:t>
            </w:r>
          </w:p>
        </w:tc>
        <w:tc>
          <w:tcPr>
            <w:tcW w:type="dxa" w:w="3312"/>
            <w:vAlign w:val="center"/>
          </w:tcPr>
          <w:p>
            <w:pPr>
              <w:spacing w:after="0"/>
            </w:pPr>
            <w:r/>
            <w:r>
              <w:rPr>
                <w:rFonts w:ascii="Aptos" w:hAnsi="Aptos"/>
                <w:b w:val="0"/>
                <w:color w:val="283441"/>
                <w:sz w:val="18"/>
              </w:rPr>
              <w:t>22,873</w:t>
            </w:r>
          </w:p>
        </w:tc>
        <w:tc>
          <w:tcPr>
            <w:tcW w:type="dxa" w:w="3312"/>
            <w:vAlign w:val="center"/>
          </w:tcPr>
          <w:p>
            <w:pPr>
              <w:spacing w:after="0"/>
            </w:pPr>
            <w:r/>
            <w:r>
              <w:rPr>
                <w:rFonts w:ascii="Aptos" w:hAnsi="Aptos"/>
                <w:b w:val="0"/>
                <w:color w:val="283441"/>
                <w:sz w:val="18"/>
              </w:rPr>
              <w:t>10.44%</w:t>
            </w:r>
          </w:p>
        </w:tc>
      </w:tr>
      <w:tr>
        <w:tc>
          <w:tcPr>
            <w:tcW w:type="dxa" w:w="3312"/>
            <w:vAlign w:val="center"/>
            <w:shd w:fill="EEF1F3"/>
          </w:tcPr>
          <w:p>
            <w:pPr>
              <w:spacing w:after="0"/>
            </w:pPr>
            <w:r/>
            <w:r>
              <w:rPr>
                <w:rFonts w:ascii="Aptos" w:hAnsi="Aptos"/>
                <w:b w:val="0"/>
                <w:color w:val="283441"/>
                <w:sz w:val="18"/>
              </w:rPr>
              <w:t>Status 1</w:t>
            </w:r>
          </w:p>
        </w:tc>
        <w:tc>
          <w:tcPr>
            <w:tcW w:type="dxa" w:w="3312"/>
            <w:vAlign w:val="center"/>
            <w:shd w:fill="EEF1F3"/>
          </w:tcPr>
          <w:p>
            <w:pPr>
              <w:spacing w:after="0"/>
            </w:pPr>
            <w:r/>
            <w:r>
              <w:rPr>
                <w:rFonts w:ascii="Aptos" w:hAnsi="Aptos"/>
                <w:b w:val="0"/>
                <w:color w:val="283441"/>
                <w:sz w:val="18"/>
              </w:rPr>
              <w:t>6,448</w:t>
            </w:r>
          </w:p>
        </w:tc>
        <w:tc>
          <w:tcPr>
            <w:tcW w:type="dxa" w:w="3312"/>
            <w:vAlign w:val="center"/>
            <w:shd w:fill="EEF1F3"/>
          </w:tcPr>
          <w:p>
            <w:pPr>
              <w:spacing w:after="0"/>
            </w:pPr>
            <w:r/>
            <w:r>
              <w:rPr>
                <w:rFonts w:ascii="Aptos" w:hAnsi="Aptos"/>
                <w:b w:val="0"/>
                <w:color w:val="283441"/>
                <w:sz w:val="18"/>
              </w:rPr>
              <w:t>13.07%</w:t>
            </w:r>
          </w:p>
        </w:tc>
      </w:tr>
    </w:tbl>
    <w:p/>
    <w:p>
      <w:r>
        <w:t>Interest rates should be reviewed alongside loan grade, verified repayment capacity, loan amount, and other relevant variables. This report does not infer that interest rates cause default.</w:t>
      </w:r>
    </w:p>
    <w:p>
      <w:pPr>
        <w:pStyle w:val="Heading1"/>
      </w:pPr>
      <w:r>
        <w:t>11. Business Recommendations</w:t>
      </w:r>
    </w:p>
    <w:p>
      <w:pPr>
        <w:pStyle w:val="ListBullet"/>
      </w:pPr>
      <w:r>
        <w:t>Use grade-level patterns to prioritize portfolio review and investigate whether higher observed rates are concentrated in particular grades.</w:t>
      </w:r>
    </w:p>
    <w:p>
      <w:pPr>
        <w:pStyle w:val="ListBullet"/>
      </w:pPr>
      <w:r>
        <w:t>Monitor repayment outcomes by loan purpose, but avoid blanket decisions based only on purpose categories.</w:t>
      </w:r>
    </w:p>
    <w:p>
      <w:pPr>
        <w:pStyle w:val="ListBullet"/>
      </w:pPr>
      <w:r>
        <w:t>Review affordability using verified income, existing obligations, loan amount, and loan-to-income measures together.</w:t>
      </w:r>
    </w:p>
    <w:p>
      <w:pPr>
        <w:pStyle w:val="ListBullet"/>
      </w:pPr>
      <w:r>
        <w:t>Create ongoing portfolio monitoring that tracks outcome rates over time, with sample sizes and uncertainty shown alongside percentages.</w:t>
      </w:r>
    </w:p>
    <w:p>
      <w:pPr>
        <w:pStyle w:val="ListBullet"/>
      </w:pPr>
      <w:r>
        <w:t>Before using any model operationally, validate it on out-of-time data and assess calibration, false-positive/false-negative costs, and fairness across relevant groups.</w:t>
      </w:r>
    </w:p>
    <w:p>
      <w:pPr>
        <w:pStyle w:val="ListBullet"/>
      </w:pPr>
      <w:r>
        <w:t>Keep a human review process, clear explanations, and a way for applicants to correct inaccurate data or appeal decisions.</w:t>
      </w:r>
    </w:p>
    <w:p>
      <w:pPr>
        <w:pStyle w:val="Heading1"/>
      </w:pPr>
      <w:r>
        <w:t>12. Dashboard and Deliverables</w:t>
      </w:r>
    </w:p>
    <w:p>
      <w:r>
        <w:t>The accompanying Streamlit dashboard is designed to show portfolio KPIs, loan-grade distribution, status-1 rates by purpose, loan amount distribution, interest rates by grade, home-ownership distribution, interactive filters, and a filtered-data download. Capture screenshots of the dashboard overview, lower charts/insights, and Python analysis output for the submission.</w:t>
      </w:r>
    </w:p>
    <w:p>
      <w:pPr>
        <w:pStyle w:val="Heading1"/>
      </w:pPr>
      <w:r>
        <w:t>13. Limitations</w:t>
      </w:r>
    </w:p>
    <w:p>
      <w:pPr>
        <w:pStyle w:val="ListBullet"/>
      </w:pPr>
      <w:r>
        <w:t>The assignment lists Customers.csv, Loan_History.csv, Transactions.csv, and Credit_Score.csv, but the available file is one combined dataset. Confirm with the instructor that this substitute is acceptable.</w:t>
      </w:r>
    </w:p>
    <w:p>
      <w:pPr>
        <w:pStyle w:val="ListBullet"/>
      </w:pPr>
      <w:r>
        <w:t>The interpretation of loan_status = 1 as default must be verified from the original dataset documentation.</w:t>
      </w:r>
    </w:p>
    <w:p>
      <w:pPr>
        <w:pStyle w:val="ListBullet"/>
      </w:pPr>
      <w:r>
        <w:t>This is exploratory descriptive analysis; no predictive model, causal inference, or out-of-sample validation has been performed.</w:t>
      </w:r>
    </w:p>
    <w:p>
      <w:pPr>
        <w:pStyle w:val="ListBullet"/>
      </w:pPr>
      <w:r>
        <w:t>Missing values and unusual age/employment values can affect results; treatment should be documented and reviewed.</w:t>
      </w:r>
    </w:p>
    <w:p>
      <w:pPr>
        <w:pStyle w:val="ListBullet"/>
      </w:pPr>
      <w:r>
        <w:t>Historical patterns may not generalize to another bank, geography, time period, or lending policy.</w:t>
      </w:r>
    </w:p>
    <w:p>
      <w:pPr>
        <w:pStyle w:val="Heading1"/>
      </w:pPr>
      <w:r>
        <w:t>14. Conclusion</w:t>
      </w:r>
    </w:p>
    <w:p>
      <w:r>
        <w:t>The dataset provides a useful starting point for examining loan outcomes and portfolio characteristics. The observed differences across grades and purposes can help direct further investigation, but responsible lending requires validation, fair treatment, relevant financial evidence, and human oversight. The dashboard and report should be presented as an initial business analysis rather than a final automated credit-risk decision system.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8994"/>
        <w:sz w:val="16"/>
      </w:rPr>
      <w:t>BANKING RISK INTELLIGENCE  |  LOAN RISK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04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0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30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