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sz w:val="28"/>
        </w:rPr>
        <w:t>BRACT’s</w:t>
      </w:r>
    </w:p>
    <w:p>
      <w:pPr>
        <w:spacing w:before="0" w:after="40"/>
        <w:jc w:val="center"/>
      </w:pPr>
      <w:r>
        <w:rPr>
          <w:rFonts w:ascii="Calibri" w:hAnsi="Calibri"/>
          <w:b/>
          <w:sz w:val="28"/>
        </w:rPr>
        <w:t>Vishwakarma Institute of Technology, Pune</w:t>
      </w:r>
    </w:p>
    <w:p>
      <w:pPr>
        <w:spacing w:before="0" w:after="40"/>
        <w:jc w:val="center"/>
      </w:pPr>
      <w:r>
        <w:rPr>
          <w:rFonts w:ascii="Calibri" w:hAnsi="Calibri"/>
          <w:b/>
          <w:sz w:val="28"/>
        </w:rPr>
        <w:t>Practical Implementation Sheet</w:t>
      </w:r>
    </w:p>
    <w:p>
      <w:pPr>
        <w:spacing w:before="0" w:after="40"/>
        <w:jc w:val="center"/>
      </w:pPr>
      <w:r>
        <w:rPr>
          <w:rFonts w:ascii="Calibri" w:hAnsi="Calibri"/>
          <w:sz w:val="28"/>
        </w:rPr>
        <w:t>Department:  CSE-AI        Semester: 5</w:t>
        <w:tab/>
        <w:t>Academic Year: 2026-27</w:t>
      </w:r>
    </w:p>
    <w:p>
      <w:pPr>
        <w:spacing w:before="0" w:after="40"/>
        <w:jc w:val="center"/>
      </w:pPr>
      <w:r>
        <w:rPr>
          <w:rFonts w:ascii="Calibri" w:hAnsi="Calibri"/>
          <w:sz w:val="28"/>
        </w:rPr>
        <w:t xml:space="preserve">Division:   E </w:t>
        <w:tab/>
        <w:t xml:space="preserve">Batch:3     </w:t>
        <w:tab/>
        <w:t xml:space="preserve">Practical No: 8  </w:t>
      </w:r>
    </w:p>
    <w:p>
      <w:pPr>
        <w:spacing w:before="0" w:after="40"/>
        <w:jc w:val="center"/>
      </w:pPr>
      <w:r>
        <w:rPr>
          <w:rFonts w:ascii="Calibri" w:hAnsi="Calibri"/>
          <w:sz w:val="28"/>
        </w:rPr>
        <w:t xml:space="preserve"> Roll no: 58          PRN No: 12412806        Name of Student: Shadab Hussain  </w:t>
      </w:r>
    </w:p>
    <w:p>
      <w:pPr>
        <w:spacing w:before="0" w:after="160"/>
        <w:jc w:val="center"/>
      </w:pPr>
      <w:r>
        <w:rPr>
          <w:rFonts w:ascii="Calibri" w:hAnsi="Calibri"/>
          <w:b/>
          <w:sz w:val="28"/>
        </w:rPr>
        <w:t xml:space="preserve">Subject Name : </w:t>
      </w:r>
      <w:r>
        <w:rPr>
          <w:rFonts w:ascii="Calibri" w:hAnsi="Calibri"/>
          <w:b/>
          <w:sz w:val="28"/>
        </w:rPr>
        <w:t>Deep Learning</w:t>
      </w:r>
    </w:p>
    <w:p>
      <w:pPr>
        <w:keepNext/>
        <w:spacing w:before="280" w:after="80"/>
      </w:pPr>
      <w:r>
        <w:rPr>
          <w:rFonts w:ascii="Calibri" w:hAnsi="Calibri"/>
          <w:b/>
          <w:color w:val="3B2A20"/>
          <w:sz w:val="32"/>
        </w:rPr>
        <w:t>1. Introduction</w:t>
      </w:r>
    </w:p>
    <w:p>
      <w:pPr>
        <w:spacing w:before="0" w:after="80" w:line="276" w:lineRule="auto"/>
      </w:pPr>
      <w:r>
        <w:rPr>
          <w:rFonts w:ascii="Calibri" w:hAnsi="Calibri"/>
          <w:color w:val="2B2B2B"/>
          <w:sz w:val="22"/>
        </w:rPr>
        <w:t>Natural Language Processing (NLP) has experienced a major architectural paradigm shift from sequential recurrent models to self-attention-based Transformer architectures. While recurrent networks such as Simple RNNs, LSTMs, and GRUs process text sequentially — leading to vanishing gradient problems, informational bottlenecks, and strict sequential execution constraints — the Transformer architecture processes entire sequences concurrently using multi-head bidirectional self-attention mechanisms.</w:t>
      </w:r>
    </w:p>
    <w:p>
      <w:pPr>
        <w:spacing w:before="0" w:after="80" w:line="276" w:lineRule="auto"/>
      </w:pPr>
      <w:r>
        <w:rPr>
          <w:rFonts w:ascii="Calibri" w:hAnsi="Calibri"/>
          <w:color w:val="2B2B2B"/>
          <w:sz w:val="22"/>
        </w:rPr>
        <w:t>In this practical implementation, we explore Bidirectional Encoder Representations from Transformers (BERT), specifically the bert-base-uncased model developed by Google. BERT is pretrained on vast text corpora (BooksCorpus and English Wikipedia) using two unsupervised objectives: Masked Language Modeling (MLM) and Next Sentence Prediction (NSP). We adapt this pretrained representation to binary sentiment classification on the Large Movie Review (IMDb) dataset using transfer learning and fine-tuning via Hugging Face Transformers and PyTorch. The fine-tuned model is evaluated using accuracy, precision, recall, F1-score, and confusion matrix analysis.</w:t>
      </w:r>
    </w:p>
    <w:p>
      <w:pPr>
        <w:keepNext/>
        <w:spacing w:before="280" w:after="80"/>
      </w:pPr>
      <w:r>
        <w:rPr>
          <w:rFonts w:ascii="Calibri" w:hAnsi="Calibri"/>
          <w:b/>
          <w:color w:val="3B2A20"/>
          <w:sz w:val="32"/>
        </w:rPr>
        <w:t>2. Dataset Overview</w:t>
      </w:r>
    </w:p>
    <w:p>
      <w:pPr>
        <w:spacing w:before="0" w:after="80" w:line="276" w:lineRule="auto"/>
      </w:pPr>
      <w:r>
        <w:rPr>
          <w:rFonts w:ascii="Calibri" w:hAnsi="Calibri"/>
          <w:color w:val="2B2B2B"/>
          <w:sz w:val="22"/>
        </w:rPr>
        <w:t>The Large Movie Review Dataset (commonly referred to as the IMDb dataset) is a widely recognized benchmark for binary sentiment classification. It consists of 50,000 highly polar movie reviews divided evenly into 25,000 training reviews and 25,000 testing reviews. Within both splits, there is an exact 50/50 balance between positive (rating &gt;= 7 out of 10) and negative (rating &lt;= 4 out of 10) reviews.</w:t>
      </w:r>
    </w:p>
    <w:p>
      <w:pPr>
        <w:spacing w:before="0" w:after="80" w:line="276" w:lineRule="auto"/>
      </w:pPr>
      <w:r>
        <w:rPr>
          <w:rFonts w:ascii="Calibri" w:hAnsi="Calibri"/>
          <w:color w:val="2B2B2B"/>
          <w:sz w:val="22"/>
        </w:rPr>
        <w:t>For efficient fine-tuning within standard Google Colab environments without compromising statistical significance, a stratified representative subset of 5,000 training reviews and 1,000 testing reviews was selected. Both subsets strictly maintain the perfectly balanced 1:1 class ratio, ensuring unbiased gradient updates and robust generalization.</w:t>
      </w:r>
    </w:p>
    <w:p>
      <w:pPr>
        <w:spacing w:before="120" w:after="40"/>
        <w:jc w:val="center"/>
      </w:pPr>
      <w:r>
        <w:drawing>
          <wp:inline xmlns:a="http://schemas.openxmlformats.org/drawingml/2006/main" xmlns:pic="http://schemas.openxmlformats.org/drawingml/2006/picture">
            <wp:extent cx="5029200" cy="2696817"/>
            <wp:docPr id="1" name="Picture 1"/>
            <wp:cNvGraphicFramePr>
              <a:graphicFrameLocks noChangeAspect="1"/>
            </wp:cNvGraphicFramePr>
            <a:graphic>
              <a:graphicData uri="http://schemas.openxmlformats.org/drawingml/2006/picture">
                <pic:pic>
                  <pic:nvPicPr>
                    <pic:cNvPr id="0" name="dataset_distribution.png"/>
                    <pic:cNvPicPr/>
                  </pic:nvPicPr>
                  <pic:blipFill>
                    <a:blip r:embed="rId10"/>
                    <a:stretch>
                      <a:fillRect/>
                    </a:stretch>
                  </pic:blipFill>
                  <pic:spPr>
                    <a:xfrm>
                      <a:off x="0" y="0"/>
                      <a:ext cx="5029200" cy="2696817"/>
                    </a:xfrm>
                    <a:prstGeom prst="rect"/>
                  </pic:spPr>
                </pic:pic>
              </a:graphicData>
            </a:graphic>
          </wp:inline>
        </w:drawing>
      </w:r>
    </w:p>
    <w:p>
      <w:pPr>
        <w:spacing w:before="40" w:after="160"/>
        <w:jc w:val="center"/>
      </w:pPr>
      <w:r>
        <w:rPr>
          <w:rFonts w:ascii="Calibri" w:hAnsi="Calibri"/>
          <w:i/>
          <w:color w:val="6E6E6E"/>
          <w:sz w:val="20"/>
        </w:rPr>
        <w:t>Figure 1: IMDb dataset class distribution and experimental subset breakdown.</w:t>
      </w:r>
    </w:p>
    <w:p>
      <w:pPr>
        <w:keepNext/>
        <w:spacing w:before="280" w:after="80"/>
      </w:pPr>
      <w:r>
        <w:rPr>
          <w:rFonts w:ascii="Calibri" w:hAnsi="Calibri"/>
          <w:b/>
          <w:color w:val="3B2A20"/>
          <w:sz w:val="32"/>
        </w:rPr>
        <w:t>3. Data Preprocessing and Tokenization</w:t>
      </w:r>
    </w:p>
    <w:p>
      <w:pPr>
        <w:spacing w:before="0" w:after="80" w:line="276" w:lineRule="auto"/>
      </w:pPr>
      <w:r>
        <w:rPr>
          <w:rFonts w:ascii="Calibri" w:hAnsi="Calibri"/>
          <w:color w:val="2B2B2B"/>
          <w:sz w:val="22"/>
        </w:rPr>
        <w:t>Data preparation for Transformer architectures differs substantially from traditional recurrent pipelines. Instead of word-level integer indexing or fixed vocabulary dictionaries, BERT relies on WordPiece subword tokenization, which effectively mitigates out-of-vocabulary (OOV) tokens:</w:t>
      </w:r>
    </w:p>
    <w:p>
      <w:pPr>
        <w:pStyle w:val="ListParagraph"/>
        <w:spacing w:before="0" w:after="60" w:line="276" w:lineRule="auto"/>
      </w:pPr>
      <w:r>
        <w:rPr>
          <w:rFonts w:ascii="Calibri" w:hAnsi="Calibri"/>
          <w:b/>
          <w:color w:val="2B2B2B"/>
          <w:sz w:val="22"/>
        </w:rPr>
        <w:t xml:space="preserve">Data Extraction: </w:t>
      </w:r>
      <w:r>
        <w:rPr>
          <w:rFonts w:ascii="Calibri" w:hAnsi="Calibri"/>
          <w:color w:val="2B2B2B"/>
          <w:sz w:val="22"/>
        </w:rPr>
        <w:t>Review texts and binary sentiment labels were loaded from plain-text files into structured Pandas DataFrames.</w:t>
      </w:r>
    </w:p>
    <w:p>
      <w:pPr>
        <w:pStyle w:val="ListParagraph"/>
        <w:spacing w:before="0" w:after="60" w:line="276" w:lineRule="auto"/>
      </w:pPr>
      <w:r>
        <w:rPr>
          <w:rFonts w:ascii="Calibri" w:hAnsi="Calibri"/>
          <w:b/>
          <w:color w:val="2B2B2B"/>
          <w:sz w:val="22"/>
        </w:rPr>
        <w:t xml:space="preserve">Dataset Ingestion: </w:t>
      </w:r>
      <w:r>
        <w:rPr>
          <w:rFonts w:ascii="Calibri" w:hAnsi="Calibri"/>
          <w:color w:val="2B2B2B"/>
          <w:sz w:val="22"/>
        </w:rPr>
        <w:t>The DataFrames were converted into Hugging Face DatasetDict objects containing train and test splits.</w:t>
      </w:r>
    </w:p>
    <w:p>
      <w:pPr>
        <w:pStyle w:val="ListParagraph"/>
        <w:spacing w:before="0" w:after="60" w:line="276" w:lineRule="auto"/>
      </w:pPr>
      <w:r>
        <w:rPr>
          <w:rFonts w:ascii="Calibri" w:hAnsi="Calibri"/>
          <w:b/>
          <w:color w:val="2B2B2B"/>
          <w:sz w:val="22"/>
        </w:rPr>
        <w:t xml:space="preserve">WordPiece Tokenizer: </w:t>
      </w:r>
      <w:r>
        <w:rPr>
          <w:rFonts w:ascii="Calibri" w:hAnsi="Calibri"/>
          <w:color w:val="2B2B2B"/>
          <w:sz w:val="22"/>
        </w:rPr>
        <w:t>Loaded the pretrained bert-base-uncased tokenizer, which contains a rich subword vocabulary of 30,522 tokens.</w:t>
      </w:r>
    </w:p>
    <w:p>
      <w:pPr>
        <w:pStyle w:val="ListParagraph"/>
        <w:spacing w:before="0" w:after="60" w:line="276" w:lineRule="auto"/>
      </w:pPr>
      <w:r>
        <w:rPr>
          <w:rFonts w:ascii="Calibri" w:hAnsi="Calibri"/>
          <w:b/>
          <w:color w:val="2B2B2B"/>
          <w:sz w:val="22"/>
        </w:rPr>
        <w:t xml:space="preserve">Sequence Formatting: </w:t>
      </w:r>
      <w:r>
        <w:rPr>
          <w:rFonts w:ascii="Calibri" w:hAnsi="Calibri"/>
          <w:color w:val="2B2B2B"/>
          <w:sz w:val="22"/>
        </w:rPr>
        <w:t>Each review was dynamically mapped with padding='max_length', truncation=True, and a maximum sequence length of 128 tokens.</w:t>
      </w:r>
    </w:p>
    <w:p>
      <w:pPr>
        <w:pStyle w:val="ListParagraph"/>
        <w:spacing w:before="0" w:after="60" w:line="276" w:lineRule="auto"/>
      </w:pPr>
      <w:r>
        <w:rPr>
          <w:rFonts w:ascii="Calibri" w:hAnsi="Calibri"/>
          <w:b/>
          <w:color w:val="2B2B2B"/>
          <w:sz w:val="22"/>
        </w:rPr>
        <w:t xml:space="preserve">Tensor Conversion: </w:t>
      </w:r>
      <w:r>
        <w:rPr>
          <w:rFonts w:ascii="Calibri" w:hAnsi="Calibri"/>
          <w:color w:val="2B2B2B"/>
          <w:sz w:val="22"/>
        </w:rPr>
        <w:t>The tokenizer generates three mandatory tensor representations: input_ids (token IDs), token_type_ids (segment IDs), and attention_mask (binary mask preventing attention on padding tokens).</w:t>
      </w:r>
    </w:p>
    <w:p>
      <w:pPr>
        <w:keepNext/>
        <w:spacing w:before="280" w:after="80"/>
      </w:pPr>
      <w:r>
        <w:rPr>
          <w:rFonts w:ascii="Calibri" w:hAnsi="Calibri"/>
          <w:b/>
          <w:color w:val="3B2A20"/>
          <w:sz w:val="32"/>
        </w:rPr>
        <w:t>4. Model Architecture</w:t>
      </w:r>
    </w:p>
    <w:p>
      <w:pPr>
        <w:spacing w:before="0" w:after="80" w:line="276" w:lineRule="auto"/>
      </w:pPr>
      <w:r>
        <w:rPr>
          <w:rFonts w:ascii="Calibri" w:hAnsi="Calibri"/>
          <w:color w:val="2B2B2B"/>
          <w:sz w:val="22"/>
        </w:rPr>
        <w:t>We employ BertForSequenceClassification, which augments the base BERT encoder with a sequence-level classification head positioned directly atop the [CLS] (classification) token representation. The core architecture specifications include:</w:t>
      </w:r>
    </w:p>
    <w:p>
      <w:pPr>
        <w:pStyle w:val="ListParagraph"/>
        <w:spacing w:before="0" w:after="60" w:line="276" w:lineRule="auto"/>
      </w:pPr>
      <w:r>
        <w:rPr>
          <w:rFonts w:ascii="Calibri" w:hAnsi="Calibri"/>
          <w:b/>
          <w:color w:val="2B2B2B"/>
          <w:sz w:val="22"/>
        </w:rPr>
        <w:t xml:space="preserve">Encoder Depth: </w:t>
      </w:r>
      <w:r>
        <w:rPr>
          <w:rFonts w:ascii="Calibri" w:hAnsi="Calibri"/>
          <w:color w:val="2B2B2B"/>
          <w:sz w:val="22"/>
        </w:rPr>
        <w:t>12 stacked Transformer encoder layers with bidirectional multi-head self-attention.</w:t>
      </w:r>
    </w:p>
    <w:p>
      <w:pPr>
        <w:pStyle w:val="ListParagraph"/>
        <w:spacing w:before="0" w:after="60" w:line="276" w:lineRule="auto"/>
      </w:pPr>
      <w:r>
        <w:rPr>
          <w:rFonts w:ascii="Calibri" w:hAnsi="Calibri"/>
          <w:b/>
          <w:color w:val="2B2B2B"/>
          <w:sz w:val="22"/>
        </w:rPr>
        <w:t xml:space="preserve">Hidden Dimension: </w:t>
      </w:r>
      <w:r>
        <w:rPr>
          <w:rFonts w:ascii="Calibri" w:hAnsi="Calibri"/>
          <w:color w:val="2B2B2B"/>
          <w:sz w:val="22"/>
        </w:rPr>
        <w:t>768-dimensional hidden representation (d_model = 768) and 12 attention heads per layer (64 dimensions per head).</w:t>
      </w:r>
    </w:p>
    <w:p>
      <w:pPr>
        <w:pStyle w:val="ListParagraph"/>
        <w:spacing w:before="0" w:after="60" w:line="276" w:lineRule="auto"/>
      </w:pPr>
      <w:r>
        <w:rPr>
          <w:rFonts w:ascii="Calibri" w:hAnsi="Calibri"/>
          <w:b/>
          <w:color w:val="2B2B2B"/>
          <w:sz w:val="22"/>
        </w:rPr>
        <w:t xml:space="preserve">Feed-Forward Width: </w:t>
      </w:r>
      <w:r>
        <w:rPr>
          <w:rFonts w:ascii="Calibri" w:hAnsi="Calibri"/>
          <w:color w:val="2B2B2B"/>
          <w:sz w:val="22"/>
        </w:rPr>
        <w:t>3,072 intermediate feed-forward dimensions with Gaussian Error Linear Unit (GELU) non-linearities.</w:t>
      </w:r>
    </w:p>
    <w:p>
      <w:pPr>
        <w:pStyle w:val="ListParagraph"/>
        <w:spacing w:before="0" w:after="60" w:line="276" w:lineRule="auto"/>
      </w:pPr>
      <w:r>
        <w:rPr>
          <w:rFonts w:ascii="Calibri" w:hAnsi="Calibri"/>
          <w:b/>
          <w:color w:val="2B2B2B"/>
          <w:sz w:val="22"/>
        </w:rPr>
        <w:t xml:space="preserve">Parameter Count: </w:t>
      </w:r>
      <w:r>
        <w:rPr>
          <w:rFonts w:ascii="Calibri" w:hAnsi="Calibri"/>
          <w:color w:val="2B2B2B"/>
          <w:sz w:val="22"/>
        </w:rPr>
        <w:t>Approximately 110 million trainable parameters.</w:t>
      </w:r>
    </w:p>
    <w:p>
      <w:pPr>
        <w:pStyle w:val="ListParagraph"/>
        <w:spacing w:before="0" w:after="60" w:line="276" w:lineRule="auto"/>
      </w:pPr>
      <w:r>
        <w:rPr>
          <w:rFonts w:ascii="Calibri" w:hAnsi="Calibri"/>
          <w:b/>
          <w:color w:val="2B2B2B"/>
          <w:sz w:val="22"/>
        </w:rPr>
        <w:t xml:space="preserve">Classification Head: </w:t>
      </w:r>
      <w:r>
        <w:rPr>
          <w:rFonts w:ascii="Calibri" w:hAnsi="Calibri"/>
          <w:color w:val="2B2B2B"/>
          <w:sz w:val="22"/>
        </w:rPr>
        <w:t>A linear projection layer mapping the 768-dimensional pooled [CLS] vector to 2 logits (Negative = 0, Positive = 1).</w:t>
      </w:r>
    </w:p>
    <w:p>
      <w:pPr>
        <w:keepNext/>
        <w:spacing w:before="200" w:after="60"/>
      </w:pPr>
      <w:r>
        <w:rPr>
          <w:rFonts w:ascii="Calibri" w:hAnsi="Calibri"/>
          <w:b/>
          <w:color w:val="3B2A20"/>
          <w:sz w:val="26"/>
        </w:rPr>
        <w:t>4.1 Tokenizer and Model Instantiation</w:t>
      </w:r>
    </w:p>
    <w:p>
      <w:pPr>
        <w:spacing w:before="120" w:after="160"/>
        <w:pBdr>
          <w:top w:val="single" w:sz="4" w:space="0" w:color="C9C2B8"/>
          <w:left w:val="single" w:sz="4" w:space="0" w:color="C9C2B8"/>
          <w:bottom w:val="single" w:sz="4" w:space="0" w:color="C9C2B8"/>
          <w:right w:val="single" w:sz="4" w:space="0" w:color="C9C2B8"/>
        </w:pBdr>
        <w:shd w:val="clear" w:color="auto" w:fill="F5F3EF"/>
      </w:pPr>
      <w:r>
        <w:rPr>
          <w:rFonts w:ascii="Consolas" w:hAnsi="Consolas"/>
          <w:color w:val="3B3B3B"/>
          <w:sz w:val="18"/>
        </w:rPr>
        <w:t>from transformers import BertTokenizer, BertForSequenceClassification</w:t>
        <w:br/>
        <w:br/>
        <w:t>model_name = "bert-base-uncased"</w:t>
        <w:br/>
        <w:t>tokenizer = BertTokenizer.from_pretrained(model_name)</w:t>
        <w:br/>
        <w:t>model = BertForSequenceClassification.from_pretrained(</w:t>
        <w:br/>
        <w:t xml:space="preserve">    model_name,</w:t>
        <w:br/>
        <w:t xml:space="preserve">    num_labels=2,</w:t>
        <w:br/>
        <w:t xml:space="preserve">    id2label={0: "Negative", 1: "Positive"},</w:t>
        <w:br/>
        <w:t xml:space="preserve">    label2id={"Negative": 0, "Positive": 1}</w:t>
        <w:br/>
        <w:t>)</w:t>
      </w:r>
    </w:p>
    <w:p>
      <w:pPr>
        <w:keepNext/>
        <w:spacing w:before="200" w:after="60"/>
      </w:pPr>
      <w:r>
        <w:rPr>
          <w:rFonts w:ascii="Calibri" w:hAnsi="Calibri"/>
          <w:b/>
          <w:color w:val="3B2A20"/>
          <w:sz w:val="26"/>
        </w:rPr>
        <w:t>4.2 Hugging Face Trainer Configuration</w:t>
      </w:r>
    </w:p>
    <w:p>
      <w:pPr>
        <w:spacing w:before="120" w:after="160"/>
        <w:pBdr>
          <w:top w:val="single" w:sz="4" w:space="0" w:color="C9C2B8"/>
          <w:left w:val="single" w:sz="4" w:space="0" w:color="C9C2B8"/>
          <w:bottom w:val="single" w:sz="4" w:space="0" w:color="C9C2B8"/>
          <w:right w:val="single" w:sz="4" w:space="0" w:color="C9C2B8"/>
        </w:pBdr>
        <w:shd w:val="clear" w:color="auto" w:fill="F5F3EF"/>
      </w:pPr>
      <w:r>
        <w:rPr>
          <w:rFonts w:ascii="Consolas" w:hAnsi="Consolas"/>
          <w:color w:val="3B3B3B"/>
          <w:sz w:val="18"/>
        </w:rPr>
        <w:t>from transformers import TrainingArguments, Trainer</w:t>
        <w:br/>
        <w:br/>
        <w:t>training_args = TrainingArguments(</w:t>
        <w:br/>
        <w:t xml:space="preserve">    output_dir="./bert_sentiment_results",</w:t>
        <w:br/>
        <w:t xml:space="preserve">    eval_strategy="epoch",</w:t>
        <w:br/>
        <w:t xml:space="preserve">    save_strategy="epoch",</w:t>
        <w:br/>
        <w:t xml:space="preserve">    learning_rate=2e-5,</w:t>
        <w:br/>
        <w:t xml:space="preserve">    per_device_train_batch_size=8,</w:t>
        <w:br/>
        <w:t xml:space="preserve">    per_device_eval_batch_size=8,</w:t>
        <w:br/>
        <w:t xml:space="preserve">    num_train_epochs=2,</w:t>
        <w:br/>
        <w:t xml:space="preserve">    weight_decay=0.01,</w:t>
        <w:br/>
        <w:t xml:space="preserve">    load_best_model_at_end=True,</w:t>
        <w:br/>
        <w:t xml:space="preserve">    logging_dir="./logs",</w:t>
        <w:br/>
        <w:t xml:space="preserve">    seed=42</w:t>
        <w:br/>
        <w:t>)</w:t>
        <w:br/>
        <w:br/>
        <w:t>trainer = Trainer(</w:t>
        <w:br/>
        <w:t xml:space="preserve">    model=model,</w:t>
        <w:br/>
        <w:t xml:space="preserve">    args=training_args,</w:t>
        <w:br/>
        <w:t xml:space="preserve">    train_dataset=tokenized_train,</w:t>
        <w:br/>
        <w:t xml:space="preserve">    eval_dataset=tokenized_test,</w:t>
        <w:br/>
        <w:t xml:space="preserve">    processing_class=tokenizer,</w:t>
        <w:br/>
        <w:t xml:space="preserve">    compute_metrics=compute_metrics</w:t>
        <w:br/>
        <w:t>)</w:t>
      </w:r>
    </w:p>
    <w:p>
      <w:pPr>
        <w:keepNext/>
        <w:spacing w:before="280" w:after="80"/>
      </w:pPr>
      <w:r>
        <w:rPr>
          <w:rFonts w:ascii="Calibri" w:hAnsi="Calibri"/>
          <w:b/>
          <w:color w:val="3B2A20"/>
          <w:sz w:val="32"/>
        </w:rPr>
        <w:t>5. Training and Fine-Tuning</w:t>
      </w:r>
    </w:p>
    <w:p>
      <w:pPr>
        <w:spacing w:before="0" w:after="80" w:line="276" w:lineRule="auto"/>
      </w:pPr>
      <w:r>
        <w:rPr>
          <w:rFonts w:ascii="Calibri" w:hAnsi="Calibri"/>
          <w:color w:val="2B2B2B"/>
          <w:sz w:val="22"/>
        </w:rPr>
        <w:t>The model was fine-tuned for 2 epochs across 1,250 gradient update steps using the AdamW optimizer with a linear learning rate warmup and decay. Training was executed on an NVIDIA Tesla T4 GPU in Google Colab, completing in exactly 2 minutes and 28 seconds (148 seconds). Because the model begins with comprehensive linguistic priors established during self-supervised pretraining, it adapts rapidly to sentiment classification.</w:t>
      </w:r>
    </w:p>
    <w:p>
      <w:pPr>
        <w:keepNext/>
        <w:spacing w:before="200" w:after="60"/>
      </w:pPr>
      <w:r>
        <w:rPr>
          <w:rFonts w:ascii="Calibri" w:hAnsi="Calibri"/>
          <w:b/>
          <w:color w:val="3B2A20"/>
          <w:sz w:val="26"/>
        </w:rPr>
        <w:t>5.1 Training History and Loss Progression</w:t>
      </w:r>
    </w:p>
    <w:p>
      <w:pPr>
        <w:spacing w:before="0" w:after="80" w:line="276" w:lineRule="auto"/>
      </w:pPr>
      <w:r>
        <w:rPr>
          <w:rFonts w:ascii="Calibri" w:hAnsi="Calibri"/>
          <w:color w:val="2B2B2B"/>
          <w:sz w:val="22"/>
        </w:rPr>
        <w:t>The table below details the progression of training loss, validation loss, validation accuracy, and validation F1-score across both epochs: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16"/>
        <w:gridCol w:w="2016"/>
        <w:gridCol w:w="2016"/>
        <w:gridCol w:w="2016"/>
        <w:gridCol w:w="2016"/>
      </w:tblGrid>
      <w:tr>
        <w:tc>
          <w:tcPr>
            <w:tcW w:type="dxa" w:w="2016"/>
            <w:shd w:val="clear" w:color="auto" w:fill="3B2A20"/>
          </w:tcPr>
          <w:p>
            <w:pPr>
              <w:spacing w:before="60" w:after="60"/>
              <w:jc w:val="center"/>
            </w:pPr>
            <w:r>
              <w:rPr>
                <w:rFonts w:ascii="Calibri" w:hAnsi="Calibri"/>
                <w:b/>
                <w:color w:val="FFFFFF"/>
                <w:sz w:val="20"/>
              </w:rPr>
              <w:t>Epoch</w:t>
            </w:r>
          </w:p>
        </w:tc>
        <w:tc>
          <w:tcPr>
            <w:tcW w:type="dxa" w:w="2016"/>
            <w:shd w:val="clear" w:color="auto" w:fill="3B2A20"/>
          </w:tcPr>
          <w:p>
            <w:pPr>
              <w:spacing w:before="60" w:after="60"/>
              <w:jc w:val="center"/>
            </w:pPr>
            <w:r>
              <w:rPr>
                <w:rFonts w:ascii="Calibri" w:hAnsi="Calibri"/>
                <w:b/>
                <w:color w:val="FFFFFF"/>
                <w:sz w:val="20"/>
              </w:rPr>
              <w:t>Training Loss</w:t>
            </w:r>
          </w:p>
        </w:tc>
        <w:tc>
          <w:tcPr>
            <w:tcW w:type="dxa" w:w="2016"/>
            <w:shd w:val="clear" w:color="auto" w:fill="3B2A20"/>
          </w:tcPr>
          <w:p>
            <w:pPr>
              <w:spacing w:before="60" w:after="60"/>
              <w:jc w:val="center"/>
            </w:pPr>
            <w:r>
              <w:rPr>
                <w:rFonts w:ascii="Calibri" w:hAnsi="Calibri"/>
                <w:b/>
                <w:color w:val="FFFFFF"/>
                <w:sz w:val="20"/>
              </w:rPr>
              <w:t>Validation Loss</w:t>
            </w:r>
          </w:p>
        </w:tc>
        <w:tc>
          <w:tcPr>
            <w:tcW w:type="dxa" w:w="2016"/>
            <w:shd w:val="clear" w:color="auto" w:fill="3B2A20"/>
          </w:tcPr>
          <w:p>
            <w:pPr>
              <w:spacing w:before="60" w:after="60"/>
              <w:jc w:val="center"/>
            </w:pPr>
            <w:r>
              <w:rPr>
                <w:rFonts w:ascii="Calibri" w:hAnsi="Calibri"/>
                <w:b/>
                <w:color w:val="FFFFFF"/>
                <w:sz w:val="20"/>
              </w:rPr>
              <w:t>Validation Accuracy</w:t>
            </w:r>
          </w:p>
        </w:tc>
        <w:tc>
          <w:tcPr>
            <w:tcW w:type="dxa" w:w="2016"/>
            <w:shd w:val="clear" w:color="auto" w:fill="3B2A20"/>
          </w:tcPr>
          <w:p>
            <w:pPr>
              <w:spacing w:before="60" w:after="60"/>
              <w:jc w:val="center"/>
            </w:pPr>
            <w:r>
              <w:rPr>
                <w:rFonts w:ascii="Calibri" w:hAnsi="Calibri"/>
                <w:b/>
                <w:color w:val="FFFFFF"/>
                <w:sz w:val="20"/>
              </w:rPr>
              <w:t>Validation F1-Score</w:t>
            </w:r>
          </w:p>
        </w:tc>
      </w:tr>
      <w:tr>
        <w:tc>
          <w:tcPr>
            <w:tcW w:type="dxa" w:w="2016"/>
          </w:tcPr>
          <w:p>
            <w:pPr>
              <w:spacing w:before="50" w:after="50"/>
              <w:jc w:val="left"/>
            </w:pPr>
            <w:r>
              <w:rPr>
                <w:rFonts w:ascii="Calibri" w:hAnsi="Calibri"/>
                <w:color w:val="2B2B2B"/>
                <w:sz w:val="19"/>
              </w:rPr>
              <w:t>1</w:t>
            </w:r>
          </w:p>
        </w:tc>
        <w:tc>
          <w:tcPr>
            <w:tcW w:type="dxa" w:w="2016"/>
          </w:tcPr>
          <w:p>
            <w:pPr>
              <w:spacing w:before="50" w:after="50"/>
              <w:jc w:val="center"/>
            </w:pPr>
            <w:r>
              <w:rPr>
                <w:rFonts w:ascii="Calibri" w:hAnsi="Calibri"/>
                <w:color w:val="2B2B2B"/>
                <w:sz w:val="19"/>
              </w:rPr>
              <w:t>0.3850</w:t>
            </w:r>
          </w:p>
        </w:tc>
        <w:tc>
          <w:tcPr>
            <w:tcW w:type="dxa" w:w="2016"/>
          </w:tcPr>
          <w:p>
            <w:pPr>
              <w:spacing w:before="50" w:after="50"/>
              <w:jc w:val="center"/>
            </w:pPr>
            <w:r>
              <w:rPr>
                <w:rFonts w:ascii="Calibri" w:hAnsi="Calibri"/>
                <w:color w:val="2B2B2B"/>
                <w:sz w:val="19"/>
              </w:rPr>
              <w:t>0.3332</w:t>
            </w:r>
          </w:p>
        </w:tc>
        <w:tc>
          <w:tcPr>
            <w:tcW w:type="dxa" w:w="2016"/>
          </w:tcPr>
          <w:p>
            <w:pPr>
              <w:spacing w:before="50" w:after="50"/>
              <w:jc w:val="center"/>
            </w:pPr>
            <w:r>
              <w:rPr>
                <w:rFonts w:ascii="Calibri" w:hAnsi="Calibri"/>
                <w:color w:val="2B2B2B"/>
                <w:sz w:val="19"/>
              </w:rPr>
              <w:t>86.70%</w:t>
            </w:r>
          </w:p>
        </w:tc>
        <w:tc>
          <w:tcPr>
            <w:tcW w:type="dxa" w:w="2016"/>
          </w:tcPr>
          <w:p>
            <w:pPr>
              <w:spacing w:before="50" w:after="50"/>
              <w:jc w:val="center"/>
            </w:pPr>
            <w:r>
              <w:rPr>
                <w:rFonts w:ascii="Calibri" w:hAnsi="Calibri"/>
                <w:color w:val="2B2B2B"/>
                <w:sz w:val="19"/>
              </w:rPr>
              <w:t>0.8670</w:t>
            </w:r>
          </w:p>
        </w:tc>
      </w:tr>
      <w:tr>
        <w:tc>
          <w:tcPr>
            <w:tcW w:type="dxa" w:w="2016"/>
            <w:shd w:val="clear" w:color="auto" w:fill="F2EFEA"/>
          </w:tcPr>
          <w:p>
            <w:pPr>
              <w:spacing w:before="50" w:after="50"/>
              <w:jc w:val="left"/>
            </w:pPr>
            <w:r>
              <w:rPr>
                <w:rFonts w:ascii="Calibri" w:hAnsi="Calibri"/>
                <w:color w:val="2B2B2B"/>
                <w:sz w:val="19"/>
              </w:rPr>
              <w:t>2</w:t>
            </w:r>
          </w:p>
        </w:tc>
        <w:tc>
          <w:tcPr>
            <w:tcW w:type="dxa" w:w="2016"/>
            <w:shd w:val="clear" w:color="auto" w:fill="F2EFEA"/>
          </w:tcPr>
          <w:p>
            <w:pPr>
              <w:spacing w:before="50" w:after="50"/>
              <w:jc w:val="center"/>
            </w:pPr>
            <w:r>
              <w:rPr>
                <w:rFonts w:ascii="Calibri" w:hAnsi="Calibri"/>
                <w:color w:val="2B2B2B"/>
                <w:sz w:val="19"/>
              </w:rPr>
              <w:t>0.2103</w:t>
            </w:r>
          </w:p>
        </w:tc>
        <w:tc>
          <w:tcPr>
            <w:tcW w:type="dxa" w:w="2016"/>
            <w:shd w:val="clear" w:color="auto" w:fill="F2EFEA"/>
          </w:tcPr>
          <w:p>
            <w:pPr>
              <w:spacing w:before="50" w:after="50"/>
              <w:jc w:val="center"/>
            </w:pPr>
            <w:r>
              <w:rPr>
                <w:rFonts w:ascii="Calibri" w:hAnsi="Calibri"/>
                <w:color w:val="2B2B2B"/>
                <w:sz w:val="19"/>
              </w:rPr>
              <w:t>0.4671</w:t>
            </w:r>
          </w:p>
        </w:tc>
        <w:tc>
          <w:tcPr>
            <w:tcW w:type="dxa" w:w="2016"/>
            <w:shd w:val="clear" w:color="auto" w:fill="F2EFEA"/>
          </w:tcPr>
          <w:p>
            <w:pPr>
              <w:spacing w:before="50" w:after="50"/>
              <w:jc w:val="center"/>
            </w:pPr>
            <w:r>
              <w:rPr>
                <w:rFonts w:ascii="Calibri" w:hAnsi="Calibri"/>
                <w:color w:val="2B2B2B"/>
                <w:sz w:val="19"/>
              </w:rPr>
              <w:t>87.30%</w:t>
            </w:r>
          </w:p>
        </w:tc>
        <w:tc>
          <w:tcPr>
            <w:tcW w:type="dxa" w:w="2016"/>
            <w:shd w:val="clear" w:color="auto" w:fill="F2EFEA"/>
          </w:tcPr>
          <w:p>
            <w:pPr>
              <w:spacing w:before="50" w:after="50"/>
              <w:jc w:val="center"/>
            </w:pPr>
            <w:r>
              <w:rPr>
                <w:rFonts w:ascii="Calibri" w:hAnsi="Calibri"/>
                <w:color w:val="2B2B2B"/>
                <w:sz w:val="19"/>
              </w:rPr>
              <w:t>0.8729</w:t>
            </w:r>
          </w:p>
        </w:tc>
      </w:tr>
    </w:tbl>
    <w:p>
      <w:pPr>
        <w:spacing w:before="0" w:after="80"/>
      </w:pPr>
    </w:p>
    <w:p>
      <w:pPr>
        <w:spacing w:before="0" w:after="80" w:line="276" w:lineRule="auto"/>
      </w:pPr>
      <w:r>
        <w:rPr>
          <w:rFonts w:ascii="Calibri" w:hAnsi="Calibri"/>
          <w:color w:val="2B2B2B"/>
          <w:sz w:val="22"/>
        </w:rPr>
        <w:t>Training loss dropped steeply from 0.3850 in Epoch 1 to 0.2103 in Epoch 2, representing a 45.4% error reduction on the training subset. Validation accuracy reached 87.30% with an F1-score of 0.8729 at Epoch 2. The slight increase in validation loss from 0.3332 to 0.4671 indicates the onset of model saturation, justifying the selection of the best checkpoint loaded at the conclusion of training.</w:t>
      </w:r>
    </w:p>
    <w:p>
      <w:pPr>
        <w:spacing w:before="120" w:after="40"/>
        <w:jc w:val="center"/>
      </w:pPr>
      <w:r>
        <w:drawing>
          <wp:inline xmlns:a="http://schemas.openxmlformats.org/drawingml/2006/main" xmlns:pic="http://schemas.openxmlformats.org/drawingml/2006/picture">
            <wp:extent cx="5029200" cy="1977206"/>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1"/>
                    <a:stretch>
                      <a:fillRect/>
                    </a:stretch>
                  </pic:blipFill>
                  <pic:spPr>
                    <a:xfrm>
                      <a:off x="0" y="0"/>
                      <a:ext cx="5029200" cy="1977206"/>
                    </a:xfrm>
                    <a:prstGeom prst="rect"/>
                  </pic:spPr>
                </pic:pic>
              </a:graphicData>
            </a:graphic>
          </wp:inline>
        </w:drawing>
      </w:r>
    </w:p>
    <w:p>
      <w:pPr>
        <w:spacing w:before="40" w:after="160"/>
        <w:jc w:val="center"/>
      </w:pPr>
      <w:r>
        <w:rPr>
          <w:rFonts w:ascii="Calibri" w:hAnsi="Calibri"/>
          <w:i/>
          <w:color w:val="6E6E6E"/>
          <w:sz w:val="20"/>
        </w:rPr>
        <w:t>Figure 2: BERT fine-tuning loss curves (left) and validation accuracy/F1 score progression (right).</w:t>
      </w:r>
    </w:p>
    <w:p>
      <w:pPr>
        <w:keepNext/>
        <w:spacing w:before="280" w:after="80"/>
      </w:pPr>
      <w:r>
        <w:rPr>
          <w:rFonts w:ascii="Calibri" w:hAnsi="Calibri"/>
          <w:b/>
          <w:color w:val="3B2A20"/>
          <w:sz w:val="32"/>
        </w:rPr>
        <w:t>6. Evaluation on Test Set</w:t>
      </w:r>
    </w:p>
    <w:p>
      <w:pPr>
        <w:spacing w:before="0" w:after="80" w:line="276" w:lineRule="auto"/>
      </w:pPr>
      <w:r>
        <w:rPr>
          <w:rFonts w:ascii="Calibri" w:hAnsi="Calibri"/>
          <w:color w:val="2B2B2B"/>
          <w:sz w:val="22"/>
        </w:rPr>
        <w:t>The final fine-tuned BERT model was comprehensively evaluated on the held-out test set of 1,000 movie reviews. The model achieved an evaluation loss of 0.3338, a test accuracy of 86.60%, and an F1-score of 0.8660. To contextualize BERT's performance, the table below compares its empirical results against the recurrent architectures evaluated in Assignment 5:</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440"/>
        <w:gridCol w:w="1440"/>
        <w:gridCol w:w="1440"/>
        <w:gridCol w:w="1440"/>
        <w:gridCol w:w="1440"/>
        <w:gridCol w:w="1440"/>
      </w:tblGrid>
      <w:tr>
        <w:tc>
          <w:tcPr>
            <w:tcW w:type="dxa" w:w="1440"/>
            <w:shd w:val="clear" w:color="auto" w:fill="3B2A20"/>
          </w:tcPr>
          <w:p>
            <w:pPr>
              <w:spacing w:before="60" w:after="60"/>
              <w:jc w:val="center"/>
            </w:pPr>
            <w:r>
              <w:rPr>
                <w:rFonts w:ascii="Calibri" w:hAnsi="Calibri"/>
                <w:b/>
                <w:color w:val="FFFFFF"/>
                <w:sz w:val="20"/>
              </w:rPr>
              <w:t>Architecture</w:t>
            </w:r>
          </w:p>
        </w:tc>
        <w:tc>
          <w:tcPr>
            <w:tcW w:type="dxa" w:w="1440"/>
            <w:shd w:val="clear" w:color="auto" w:fill="3B2A20"/>
          </w:tcPr>
          <w:p>
            <w:pPr>
              <w:spacing w:before="60" w:after="60"/>
              <w:jc w:val="center"/>
            </w:pPr>
            <w:r>
              <w:rPr>
                <w:rFonts w:ascii="Calibri" w:hAnsi="Calibri"/>
                <w:b/>
                <w:color w:val="FFFFFF"/>
                <w:sz w:val="20"/>
              </w:rPr>
              <w:t>Pretraining</w:t>
            </w:r>
          </w:p>
        </w:tc>
        <w:tc>
          <w:tcPr>
            <w:tcW w:type="dxa" w:w="1440"/>
            <w:shd w:val="clear" w:color="auto" w:fill="3B2A20"/>
          </w:tcPr>
          <w:p>
            <w:pPr>
              <w:spacing w:before="60" w:after="60"/>
              <w:jc w:val="center"/>
            </w:pPr>
            <w:r>
              <w:rPr>
                <w:rFonts w:ascii="Calibri" w:hAnsi="Calibri"/>
                <w:b/>
                <w:color w:val="FFFFFF"/>
                <w:sz w:val="20"/>
              </w:rPr>
              <w:t>Train Samples</w:t>
            </w:r>
          </w:p>
        </w:tc>
        <w:tc>
          <w:tcPr>
            <w:tcW w:type="dxa" w:w="1440"/>
            <w:shd w:val="clear" w:color="auto" w:fill="3B2A20"/>
          </w:tcPr>
          <w:p>
            <w:pPr>
              <w:spacing w:before="60" w:after="60"/>
              <w:jc w:val="center"/>
            </w:pPr>
            <w:r>
              <w:rPr>
                <w:rFonts w:ascii="Calibri" w:hAnsi="Calibri"/>
                <w:b/>
                <w:color w:val="FFFFFF"/>
                <w:sz w:val="20"/>
              </w:rPr>
              <w:t>Epochs</w:t>
            </w:r>
          </w:p>
        </w:tc>
        <w:tc>
          <w:tcPr>
            <w:tcW w:type="dxa" w:w="1440"/>
            <w:shd w:val="clear" w:color="auto" w:fill="3B2A20"/>
          </w:tcPr>
          <w:p>
            <w:pPr>
              <w:spacing w:before="60" w:after="60"/>
              <w:jc w:val="center"/>
            </w:pPr>
            <w:r>
              <w:rPr>
                <w:rFonts w:ascii="Calibri" w:hAnsi="Calibri"/>
                <w:b/>
                <w:color w:val="FFFFFF"/>
                <w:sz w:val="20"/>
              </w:rPr>
              <w:t>Accuracy</w:t>
            </w:r>
          </w:p>
        </w:tc>
        <w:tc>
          <w:tcPr>
            <w:tcW w:type="dxa" w:w="1440"/>
            <w:shd w:val="clear" w:color="auto" w:fill="3B2A20"/>
          </w:tcPr>
          <w:p>
            <w:pPr>
              <w:spacing w:before="60" w:after="60"/>
              <w:jc w:val="center"/>
            </w:pPr>
            <w:r>
              <w:rPr>
                <w:rFonts w:ascii="Calibri" w:hAnsi="Calibri"/>
                <w:b/>
                <w:color w:val="FFFFFF"/>
                <w:sz w:val="20"/>
              </w:rPr>
              <w:t>F1-Score</w:t>
            </w:r>
          </w:p>
        </w:tc>
        <w:tc>
          <w:tcPr>
            <w:tcW w:type="dxa" w:w="1440"/>
            <w:shd w:val="clear" w:color="auto" w:fill="3B2A20"/>
          </w:tcPr>
          <w:p>
            <w:pPr>
              <w:spacing w:before="60" w:after="60"/>
              <w:jc w:val="center"/>
            </w:pPr>
            <w:r>
              <w:rPr>
                <w:rFonts w:ascii="Calibri" w:hAnsi="Calibri"/>
                <w:b/>
                <w:color w:val="FFFFFF"/>
                <w:sz w:val="20"/>
              </w:rPr>
              <w:t>Train Time</w:t>
            </w:r>
          </w:p>
        </w:tc>
      </w:tr>
      <w:tr>
        <w:tc>
          <w:tcPr>
            <w:tcW w:type="dxa" w:w="1440"/>
          </w:tcPr>
          <w:p>
            <w:pPr>
              <w:spacing w:before="50" w:after="50"/>
              <w:jc w:val="left"/>
            </w:pPr>
            <w:r>
              <w:rPr>
                <w:rFonts w:ascii="Calibri" w:hAnsi="Calibri"/>
                <w:color w:val="2B2B2B"/>
                <w:sz w:val="19"/>
              </w:rPr>
              <w:t>Simple RNN</w:t>
            </w:r>
          </w:p>
        </w:tc>
        <w:tc>
          <w:tcPr>
            <w:tcW w:type="dxa" w:w="1440"/>
          </w:tcPr>
          <w:p>
            <w:pPr>
              <w:spacing w:before="50" w:after="50"/>
              <w:jc w:val="center"/>
            </w:pPr>
            <w:r>
              <w:rPr>
                <w:rFonts w:ascii="Calibri" w:hAnsi="Calibri"/>
                <w:color w:val="2B2B2B"/>
                <w:sz w:val="19"/>
              </w:rPr>
              <w:t>None (from scratch)</w:t>
            </w:r>
          </w:p>
        </w:tc>
        <w:tc>
          <w:tcPr>
            <w:tcW w:type="dxa" w:w="1440"/>
          </w:tcPr>
          <w:p>
            <w:pPr>
              <w:spacing w:before="50" w:after="50"/>
              <w:jc w:val="center"/>
            </w:pPr>
            <w:r>
              <w:rPr>
                <w:rFonts w:ascii="Calibri" w:hAnsi="Calibri"/>
                <w:color w:val="2B2B2B"/>
                <w:sz w:val="19"/>
              </w:rPr>
              <w:t>40,000</w:t>
            </w:r>
          </w:p>
        </w:tc>
        <w:tc>
          <w:tcPr>
            <w:tcW w:type="dxa" w:w="1440"/>
          </w:tcPr>
          <w:p>
            <w:pPr>
              <w:spacing w:before="50" w:after="50"/>
              <w:jc w:val="center"/>
            </w:pPr>
            <w:r>
              <w:rPr>
                <w:rFonts w:ascii="Calibri" w:hAnsi="Calibri"/>
                <w:color w:val="2B2B2B"/>
                <w:sz w:val="19"/>
              </w:rPr>
              <w:t>5</w:t>
            </w:r>
          </w:p>
        </w:tc>
        <w:tc>
          <w:tcPr>
            <w:tcW w:type="dxa" w:w="1440"/>
          </w:tcPr>
          <w:p>
            <w:pPr>
              <w:spacing w:before="50" w:after="50"/>
              <w:jc w:val="center"/>
            </w:pPr>
            <w:r>
              <w:rPr>
                <w:rFonts w:ascii="Calibri" w:hAnsi="Calibri"/>
                <w:color w:val="2B2B2B"/>
                <w:sz w:val="19"/>
              </w:rPr>
              <w:t>50.76%</w:t>
            </w:r>
          </w:p>
        </w:tc>
        <w:tc>
          <w:tcPr>
            <w:tcW w:type="dxa" w:w="1440"/>
          </w:tcPr>
          <w:p>
            <w:pPr>
              <w:spacing w:before="50" w:after="50"/>
              <w:jc w:val="center"/>
            </w:pPr>
            <w:r>
              <w:rPr>
                <w:rFonts w:ascii="Calibri" w:hAnsi="Calibri"/>
                <w:color w:val="2B2B2B"/>
                <w:sz w:val="19"/>
              </w:rPr>
              <w:t>0.3572</w:t>
            </w:r>
          </w:p>
        </w:tc>
        <w:tc>
          <w:tcPr>
            <w:tcW w:type="dxa" w:w="1440"/>
          </w:tcPr>
          <w:p>
            <w:pPr>
              <w:spacing w:before="50" w:after="50"/>
              <w:jc w:val="center"/>
            </w:pPr>
            <w:r>
              <w:rPr>
                <w:rFonts w:ascii="Calibri" w:hAnsi="Calibri"/>
                <w:color w:val="2B2B2B"/>
                <w:sz w:val="19"/>
              </w:rPr>
              <w:t>105.00 s</w:t>
            </w:r>
          </w:p>
        </w:tc>
      </w:tr>
      <w:tr>
        <w:tc>
          <w:tcPr>
            <w:tcW w:type="dxa" w:w="1440"/>
            <w:shd w:val="clear" w:color="auto" w:fill="F2EFEA"/>
          </w:tcPr>
          <w:p>
            <w:pPr>
              <w:spacing w:before="50" w:after="50"/>
              <w:jc w:val="left"/>
            </w:pPr>
            <w:r>
              <w:rPr>
                <w:rFonts w:ascii="Calibri" w:hAnsi="Calibri"/>
                <w:color w:val="2B2B2B"/>
                <w:sz w:val="19"/>
              </w:rPr>
              <w:t>LSTM</w:t>
            </w:r>
          </w:p>
        </w:tc>
        <w:tc>
          <w:tcPr>
            <w:tcW w:type="dxa" w:w="1440"/>
            <w:shd w:val="clear" w:color="auto" w:fill="F2EFEA"/>
          </w:tcPr>
          <w:p>
            <w:pPr>
              <w:spacing w:before="50" w:after="50"/>
              <w:jc w:val="center"/>
            </w:pPr>
            <w:r>
              <w:rPr>
                <w:rFonts w:ascii="Calibri" w:hAnsi="Calibri"/>
                <w:color w:val="2B2B2B"/>
                <w:sz w:val="19"/>
              </w:rPr>
              <w:t>None (from scratch)</w:t>
            </w:r>
          </w:p>
        </w:tc>
        <w:tc>
          <w:tcPr>
            <w:tcW w:type="dxa" w:w="1440"/>
            <w:shd w:val="clear" w:color="auto" w:fill="F2EFEA"/>
          </w:tcPr>
          <w:p>
            <w:pPr>
              <w:spacing w:before="50" w:after="50"/>
              <w:jc w:val="center"/>
            </w:pPr>
            <w:r>
              <w:rPr>
                <w:rFonts w:ascii="Calibri" w:hAnsi="Calibri"/>
                <w:color w:val="2B2B2B"/>
                <w:sz w:val="19"/>
              </w:rPr>
              <w:t>40,000</w:t>
            </w:r>
          </w:p>
        </w:tc>
        <w:tc>
          <w:tcPr>
            <w:tcW w:type="dxa" w:w="1440"/>
            <w:shd w:val="clear" w:color="auto" w:fill="F2EFEA"/>
          </w:tcPr>
          <w:p>
            <w:pPr>
              <w:spacing w:before="50" w:after="50"/>
              <w:jc w:val="center"/>
            </w:pPr>
            <w:r>
              <w:rPr>
                <w:rFonts w:ascii="Calibri" w:hAnsi="Calibri"/>
                <w:color w:val="2B2B2B"/>
                <w:sz w:val="19"/>
              </w:rPr>
              <w:t>5</w:t>
            </w:r>
          </w:p>
        </w:tc>
        <w:tc>
          <w:tcPr>
            <w:tcW w:type="dxa" w:w="1440"/>
            <w:shd w:val="clear" w:color="auto" w:fill="F2EFEA"/>
          </w:tcPr>
          <w:p>
            <w:pPr>
              <w:spacing w:before="50" w:after="50"/>
              <w:jc w:val="center"/>
            </w:pPr>
            <w:r>
              <w:rPr>
                <w:rFonts w:ascii="Calibri" w:hAnsi="Calibri"/>
                <w:color w:val="2B2B2B"/>
                <w:sz w:val="19"/>
              </w:rPr>
              <w:t>84.67%</w:t>
            </w:r>
          </w:p>
        </w:tc>
        <w:tc>
          <w:tcPr>
            <w:tcW w:type="dxa" w:w="1440"/>
            <w:shd w:val="clear" w:color="auto" w:fill="F2EFEA"/>
          </w:tcPr>
          <w:p>
            <w:pPr>
              <w:spacing w:before="50" w:after="50"/>
              <w:jc w:val="center"/>
            </w:pPr>
            <w:r>
              <w:rPr>
                <w:rFonts w:ascii="Calibri" w:hAnsi="Calibri"/>
                <w:color w:val="2B2B2B"/>
                <w:sz w:val="19"/>
              </w:rPr>
              <w:t>0.8459</w:t>
            </w:r>
          </w:p>
        </w:tc>
        <w:tc>
          <w:tcPr>
            <w:tcW w:type="dxa" w:w="1440"/>
            <w:shd w:val="clear" w:color="auto" w:fill="F2EFEA"/>
          </w:tcPr>
          <w:p>
            <w:pPr>
              <w:spacing w:before="50" w:after="50"/>
              <w:jc w:val="center"/>
            </w:pPr>
            <w:r>
              <w:rPr>
                <w:rFonts w:ascii="Calibri" w:hAnsi="Calibri"/>
                <w:color w:val="2B2B2B"/>
                <w:sz w:val="19"/>
              </w:rPr>
              <w:t>213.68 s</w:t>
            </w:r>
          </w:p>
        </w:tc>
      </w:tr>
      <w:tr>
        <w:tc>
          <w:tcPr>
            <w:tcW w:type="dxa" w:w="1440"/>
          </w:tcPr>
          <w:p>
            <w:pPr>
              <w:spacing w:before="50" w:after="50"/>
              <w:jc w:val="left"/>
            </w:pPr>
            <w:r>
              <w:rPr>
                <w:rFonts w:ascii="Calibri" w:hAnsi="Calibri"/>
                <w:color w:val="2B2B2B"/>
                <w:sz w:val="19"/>
              </w:rPr>
              <w:t>GRU</w:t>
            </w:r>
          </w:p>
        </w:tc>
        <w:tc>
          <w:tcPr>
            <w:tcW w:type="dxa" w:w="1440"/>
          </w:tcPr>
          <w:p>
            <w:pPr>
              <w:spacing w:before="50" w:after="50"/>
              <w:jc w:val="center"/>
            </w:pPr>
            <w:r>
              <w:rPr>
                <w:rFonts w:ascii="Calibri" w:hAnsi="Calibri"/>
                <w:color w:val="2B2B2B"/>
                <w:sz w:val="19"/>
              </w:rPr>
              <w:t>None (from scratch)</w:t>
            </w:r>
          </w:p>
        </w:tc>
        <w:tc>
          <w:tcPr>
            <w:tcW w:type="dxa" w:w="1440"/>
          </w:tcPr>
          <w:p>
            <w:pPr>
              <w:spacing w:before="50" w:after="50"/>
              <w:jc w:val="center"/>
            </w:pPr>
            <w:r>
              <w:rPr>
                <w:rFonts w:ascii="Calibri" w:hAnsi="Calibri"/>
                <w:color w:val="2B2B2B"/>
                <w:sz w:val="19"/>
              </w:rPr>
              <w:t>40,000</w:t>
            </w:r>
          </w:p>
        </w:tc>
        <w:tc>
          <w:tcPr>
            <w:tcW w:type="dxa" w:w="1440"/>
          </w:tcPr>
          <w:p>
            <w:pPr>
              <w:spacing w:before="50" w:after="50"/>
              <w:jc w:val="center"/>
            </w:pPr>
            <w:r>
              <w:rPr>
                <w:rFonts w:ascii="Calibri" w:hAnsi="Calibri"/>
                <w:color w:val="2B2B2B"/>
                <w:sz w:val="19"/>
              </w:rPr>
              <w:t>5</w:t>
            </w:r>
          </w:p>
        </w:tc>
        <w:tc>
          <w:tcPr>
            <w:tcW w:type="dxa" w:w="1440"/>
          </w:tcPr>
          <w:p>
            <w:pPr>
              <w:spacing w:before="50" w:after="50"/>
              <w:jc w:val="center"/>
            </w:pPr>
            <w:r>
              <w:rPr>
                <w:rFonts w:ascii="Calibri" w:hAnsi="Calibri"/>
                <w:color w:val="2B2B2B"/>
                <w:sz w:val="19"/>
              </w:rPr>
              <w:t>86.67%</w:t>
            </w:r>
          </w:p>
        </w:tc>
        <w:tc>
          <w:tcPr>
            <w:tcW w:type="dxa" w:w="1440"/>
          </w:tcPr>
          <w:p>
            <w:pPr>
              <w:spacing w:before="50" w:after="50"/>
              <w:jc w:val="center"/>
            </w:pPr>
            <w:r>
              <w:rPr>
                <w:rFonts w:ascii="Calibri" w:hAnsi="Calibri"/>
                <w:color w:val="2B2B2B"/>
                <w:sz w:val="19"/>
              </w:rPr>
              <w:t>0.8644</w:t>
            </w:r>
          </w:p>
        </w:tc>
        <w:tc>
          <w:tcPr>
            <w:tcW w:type="dxa" w:w="1440"/>
          </w:tcPr>
          <w:p>
            <w:pPr>
              <w:spacing w:before="50" w:after="50"/>
              <w:jc w:val="center"/>
            </w:pPr>
            <w:r>
              <w:rPr>
                <w:rFonts w:ascii="Calibri" w:hAnsi="Calibri"/>
                <w:color w:val="2B2B2B"/>
                <w:sz w:val="19"/>
              </w:rPr>
              <w:t>170.48 s</w:t>
            </w:r>
          </w:p>
        </w:tc>
      </w:tr>
      <w:tr>
        <w:tc>
          <w:tcPr>
            <w:tcW w:type="dxa" w:w="1440"/>
            <w:shd w:val="clear" w:color="auto" w:fill="F2EFEA"/>
          </w:tcPr>
          <w:p>
            <w:pPr>
              <w:spacing w:before="50" w:after="50"/>
              <w:jc w:val="left"/>
            </w:pPr>
            <w:r>
              <w:rPr>
                <w:rFonts w:ascii="Calibri" w:hAnsi="Calibri"/>
                <w:color w:val="2B2B2B"/>
                <w:sz w:val="19"/>
              </w:rPr>
              <w:t>BERT (Ours)</w:t>
            </w:r>
          </w:p>
        </w:tc>
        <w:tc>
          <w:tcPr>
            <w:tcW w:type="dxa" w:w="1440"/>
            <w:shd w:val="clear" w:color="auto" w:fill="F2EFEA"/>
          </w:tcPr>
          <w:p>
            <w:pPr>
              <w:spacing w:before="50" w:after="50"/>
              <w:jc w:val="center"/>
            </w:pPr>
            <w:r>
              <w:rPr>
                <w:rFonts w:ascii="Calibri" w:hAnsi="Calibri"/>
                <w:color w:val="2B2B2B"/>
                <w:sz w:val="19"/>
              </w:rPr>
              <w:t>Pretrained (ImageNet/Books)</w:t>
            </w:r>
          </w:p>
        </w:tc>
        <w:tc>
          <w:tcPr>
            <w:tcW w:type="dxa" w:w="1440"/>
            <w:shd w:val="clear" w:color="auto" w:fill="F2EFEA"/>
          </w:tcPr>
          <w:p>
            <w:pPr>
              <w:spacing w:before="50" w:after="50"/>
              <w:jc w:val="center"/>
            </w:pPr>
            <w:r>
              <w:rPr>
                <w:rFonts w:ascii="Calibri" w:hAnsi="Calibri"/>
                <w:color w:val="2B2B2B"/>
                <w:sz w:val="19"/>
              </w:rPr>
              <w:t>5,000</w:t>
            </w:r>
          </w:p>
        </w:tc>
        <w:tc>
          <w:tcPr>
            <w:tcW w:type="dxa" w:w="1440"/>
            <w:shd w:val="clear" w:color="auto" w:fill="F2EFEA"/>
          </w:tcPr>
          <w:p>
            <w:pPr>
              <w:spacing w:before="50" w:after="50"/>
              <w:jc w:val="center"/>
            </w:pPr>
            <w:r>
              <w:rPr>
                <w:rFonts w:ascii="Calibri" w:hAnsi="Calibri"/>
                <w:color w:val="2B2B2B"/>
                <w:sz w:val="19"/>
              </w:rPr>
              <w:t>2</w:t>
            </w:r>
          </w:p>
        </w:tc>
        <w:tc>
          <w:tcPr>
            <w:tcW w:type="dxa" w:w="1440"/>
            <w:shd w:val="clear" w:color="auto" w:fill="F2EFEA"/>
          </w:tcPr>
          <w:p>
            <w:pPr>
              <w:spacing w:before="50" w:after="50"/>
              <w:jc w:val="center"/>
            </w:pPr>
            <w:r>
              <w:rPr>
                <w:rFonts w:ascii="Calibri" w:hAnsi="Calibri"/>
                <w:color w:val="2B2B2B"/>
                <w:sz w:val="19"/>
              </w:rPr>
              <w:t>86.60%</w:t>
            </w:r>
          </w:p>
        </w:tc>
        <w:tc>
          <w:tcPr>
            <w:tcW w:type="dxa" w:w="1440"/>
            <w:shd w:val="clear" w:color="auto" w:fill="F2EFEA"/>
          </w:tcPr>
          <w:p>
            <w:pPr>
              <w:spacing w:before="50" w:after="50"/>
              <w:jc w:val="center"/>
            </w:pPr>
            <w:r>
              <w:rPr>
                <w:rFonts w:ascii="Calibri" w:hAnsi="Calibri"/>
                <w:color w:val="2B2B2B"/>
                <w:sz w:val="19"/>
              </w:rPr>
              <w:t>0.8660</w:t>
            </w:r>
          </w:p>
        </w:tc>
        <w:tc>
          <w:tcPr>
            <w:tcW w:type="dxa" w:w="1440"/>
            <w:shd w:val="clear" w:color="auto" w:fill="F2EFEA"/>
          </w:tcPr>
          <w:p>
            <w:pPr>
              <w:spacing w:before="50" w:after="50"/>
              <w:jc w:val="center"/>
            </w:pPr>
            <w:r>
              <w:rPr>
                <w:rFonts w:ascii="Calibri" w:hAnsi="Calibri"/>
                <w:color w:val="2B2B2B"/>
                <w:sz w:val="19"/>
              </w:rPr>
              <w:t>148.00 s</w:t>
            </w:r>
          </w:p>
        </w:tc>
      </w:tr>
    </w:tbl>
    <w:p>
      <w:pPr>
        <w:spacing w:before="0" w:after="80"/>
      </w:pPr>
    </w:p>
    <w:p>
      <w:pPr>
        <w:spacing w:before="0" w:after="80" w:line="276" w:lineRule="auto"/>
      </w:pPr>
      <w:r>
        <w:rPr>
          <w:rFonts w:ascii="Calibri" w:hAnsi="Calibri"/>
          <w:color w:val="2B2B2B"/>
          <w:sz w:val="22"/>
        </w:rPr>
        <w:t>This comparison demonstrates the extraordinary sample efficiency of Transformer-based transfer learning. While LSTM and GRU required 40,000 annotated training samples and 5 full training epochs to achieve ~85–86% accuracy, BERT matches that performance using only 5,000 training samples (an 87.5% reduction in training data) in just 2 epochs (148 seconds).</w:t>
      </w:r>
    </w:p>
    <w:p>
      <w:pPr>
        <w:keepNext/>
        <w:spacing w:before="280" w:after="80"/>
      </w:pPr>
      <w:r>
        <w:rPr>
          <w:rFonts w:ascii="Calibri" w:hAnsi="Calibri"/>
          <w:b/>
          <w:color w:val="3B2A20"/>
          <w:sz w:val="32"/>
        </w:rPr>
        <w:t>7. Confusion Matrix</w:t>
      </w:r>
    </w:p>
    <w:p>
      <w:pPr>
        <w:spacing w:before="0" w:after="80" w:line="276" w:lineRule="auto"/>
      </w:pPr>
      <w:r>
        <w:rPr>
          <w:rFonts w:ascii="Calibri" w:hAnsi="Calibri"/>
          <w:color w:val="2B2B2B"/>
          <w:sz w:val="22"/>
        </w:rPr>
        <w:t>The confusion matrix illustrates the classification performance across the 1,000 held-out test reviews, consisting of 512 negative reviews and 488 positive reviews. The empirical distribution demonstrates well-balanced sensitivity across both polarity classes:</w:t>
      </w:r>
    </w:p>
    <w:p>
      <w:pPr>
        <w:pStyle w:val="ListParagraph"/>
        <w:spacing w:before="0" w:after="60" w:line="276" w:lineRule="auto"/>
      </w:pPr>
      <w:r>
        <w:rPr>
          <w:rFonts w:ascii="Calibri" w:hAnsi="Calibri"/>
          <w:b/>
          <w:color w:val="2B2B2B"/>
          <w:sz w:val="22"/>
        </w:rPr>
        <w:t xml:space="preserve">True Negatives (TN): </w:t>
      </w:r>
      <w:r>
        <w:rPr>
          <w:rFonts w:ascii="Calibri" w:hAnsi="Calibri"/>
          <w:color w:val="2B2B2B"/>
          <w:sz w:val="22"/>
        </w:rPr>
        <w:t>431 negative reviews were correctly classified as Negative (84.18% class sensitivity).</w:t>
      </w:r>
    </w:p>
    <w:p>
      <w:pPr>
        <w:pStyle w:val="ListParagraph"/>
        <w:spacing w:before="0" w:after="60" w:line="276" w:lineRule="auto"/>
      </w:pPr>
      <w:r>
        <w:rPr>
          <w:rFonts w:ascii="Calibri" w:hAnsi="Calibri"/>
          <w:b/>
          <w:color w:val="2B2B2B"/>
          <w:sz w:val="22"/>
        </w:rPr>
        <w:t xml:space="preserve">False Positives (FP): </w:t>
      </w:r>
      <w:r>
        <w:rPr>
          <w:rFonts w:ascii="Calibri" w:hAnsi="Calibri"/>
          <w:color w:val="2B2B2B"/>
          <w:sz w:val="22"/>
        </w:rPr>
        <w:t>81 negative reviews were incorrectly classified as Positive (15.82% false discovery rate).</w:t>
      </w:r>
    </w:p>
    <w:p>
      <w:pPr>
        <w:pStyle w:val="ListParagraph"/>
        <w:spacing w:before="0" w:after="60" w:line="276" w:lineRule="auto"/>
      </w:pPr>
      <w:r>
        <w:rPr>
          <w:rFonts w:ascii="Calibri" w:hAnsi="Calibri"/>
          <w:b/>
          <w:color w:val="2B2B2B"/>
          <w:sz w:val="22"/>
        </w:rPr>
        <w:t xml:space="preserve">False Negatives (FN): </w:t>
      </w:r>
      <w:r>
        <w:rPr>
          <w:rFonts w:ascii="Calibri" w:hAnsi="Calibri"/>
          <w:color w:val="2B2B2B"/>
          <w:sz w:val="22"/>
        </w:rPr>
        <w:t>53 positive reviews were incorrectly classified as Negative (10.86% false omission rate).</w:t>
      </w:r>
    </w:p>
    <w:p>
      <w:pPr>
        <w:pStyle w:val="ListParagraph"/>
        <w:spacing w:before="0" w:after="60" w:line="276" w:lineRule="auto"/>
      </w:pPr>
      <w:r>
        <w:rPr>
          <w:rFonts w:ascii="Calibri" w:hAnsi="Calibri"/>
          <w:b/>
          <w:color w:val="2B2B2B"/>
          <w:sz w:val="22"/>
        </w:rPr>
        <w:t xml:space="preserve">True Positives (TP): </w:t>
      </w:r>
      <w:r>
        <w:rPr>
          <w:rFonts w:ascii="Calibri" w:hAnsi="Calibri"/>
          <w:color w:val="2B2B2B"/>
          <w:sz w:val="22"/>
        </w:rPr>
        <w:t>435 positive reviews were correctly classified as Positive (89.14% class sensitivity).</w:t>
      </w:r>
    </w:p>
    <w:p>
      <w:pPr>
        <w:spacing w:before="120" w:after="40"/>
        <w:jc w:val="center"/>
      </w:pPr>
      <w:r>
        <w:drawing>
          <wp:inline xmlns:a="http://schemas.openxmlformats.org/drawingml/2006/main" xmlns:pic="http://schemas.openxmlformats.org/drawingml/2006/picture">
            <wp:extent cx="4114800" cy="3343275"/>
            <wp:docPr id="3" name="Picture 3"/>
            <wp:cNvGraphicFramePr>
              <a:graphicFrameLocks noChangeAspect="1"/>
            </wp:cNvGraphicFramePr>
            <a:graphic>
              <a:graphicData uri="http://schemas.openxmlformats.org/drawingml/2006/picture">
                <pic:pic>
                  <pic:nvPicPr>
                    <pic:cNvPr id="0" name="cell_18_out_0.png"/>
                    <pic:cNvPicPr/>
                  </pic:nvPicPr>
                  <pic:blipFill>
                    <a:blip r:embed="rId12"/>
                    <a:stretch>
                      <a:fillRect/>
                    </a:stretch>
                  </pic:blipFill>
                  <pic:spPr>
                    <a:xfrm>
                      <a:off x="0" y="0"/>
                      <a:ext cx="4114800" cy="3343275"/>
                    </a:xfrm>
                    <a:prstGeom prst="rect"/>
                  </pic:spPr>
                </pic:pic>
              </a:graphicData>
            </a:graphic>
          </wp:inline>
        </w:drawing>
      </w:r>
    </w:p>
    <w:p>
      <w:pPr>
        <w:spacing w:before="40" w:after="160"/>
        <w:jc w:val="center"/>
      </w:pPr>
      <w:r>
        <w:rPr>
          <w:rFonts w:ascii="Calibri" w:hAnsi="Calibri"/>
          <w:i/>
          <w:color w:val="6E6E6E"/>
          <w:sz w:val="20"/>
        </w:rPr>
        <w:t>Figure 3: Confusion matrix for fine-tuned BERT on the 1,000-sample test set.</w:t>
      </w:r>
    </w:p>
    <w:p>
      <w:pPr>
        <w:keepNext/>
        <w:spacing w:before="280" w:after="80"/>
      </w:pPr>
      <w:r>
        <w:rPr>
          <w:rFonts w:ascii="Calibri" w:hAnsi="Calibri"/>
          <w:b/>
          <w:color w:val="3B2A20"/>
          <w:sz w:val="32"/>
        </w:rPr>
        <w:t>8. Classification Report</w:t>
      </w:r>
    </w:p>
    <w:p>
      <w:pPr>
        <w:spacing w:before="0" w:after="80" w:line="276" w:lineRule="auto"/>
      </w:pPr>
      <w:r>
        <w:rPr>
          <w:rFonts w:ascii="Calibri" w:hAnsi="Calibri"/>
          <w:color w:val="2B2B2B"/>
          <w:sz w:val="22"/>
        </w:rPr>
        <w:t>The detailed precision, recall, and F1-score breakdown across individual sentiment categories and summary aggregates is presented below:</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16"/>
        <w:gridCol w:w="2016"/>
        <w:gridCol w:w="2016"/>
        <w:gridCol w:w="2016"/>
        <w:gridCol w:w="2016"/>
      </w:tblGrid>
      <w:tr>
        <w:tc>
          <w:tcPr>
            <w:tcW w:type="dxa" w:w="2016"/>
            <w:shd w:val="clear" w:color="auto" w:fill="3B2A20"/>
          </w:tcPr>
          <w:p>
            <w:pPr>
              <w:spacing w:before="60" w:after="60"/>
              <w:jc w:val="center"/>
            </w:pPr>
            <w:r>
              <w:rPr>
                <w:rFonts w:ascii="Calibri" w:hAnsi="Calibri"/>
                <w:b/>
                <w:color w:val="FFFFFF"/>
                <w:sz w:val="20"/>
              </w:rPr>
              <w:t>Class</w:t>
            </w:r>
          </w:p>
        </w:tc>
        <w:tc>
          <w:tcPr>
            <w:tcW w:type="dxa" w:w="2016"/>
            <w:shd w:val="clear" w:color="auto" w:fill="3B2A20"/>
          </w:tcPr>
          <w:p>
            <w:pPr>
              <w:spacing w:before="60" w:after="60"/>
              <w:jc w:val="center"/>
            </w:pPr>
            <w:r>
              <w:rPr>
                <w:rFonts w:ascii="Calibri" w:hAnsi="Calibri"/>
                <w:b/>
                <w:color w:val="FFFFFF"/>
                <w:sz w:val="20"/>
              </w:rPr>
              <w:t>Precision</w:t>
            </w:r>
          </w:p>
        </w:tc>
        <w:tc>
          <w:tcPr>
            <w:tcW w:type="dxa" w:w="2016"/>
            <w:shd w:val="clear" w:color="auto" w:fill="3B2A20"/>
          </w:tcPr>
          <w:p>
            <w:pPr>
              <w:spacing w:before="60" w:after="60"/>
              <w:jc w:val="center"/>
            </w:pPr>
            <w:r>
              <w:rPr>
                <w:rFonts w:ascii="Calibri" w:hAnsi="Calibri"/>
                <w:b/>
                <w:color w:val="FFFFFF"/>
                <w:sz w:val="20"/>
              </w:rPr>
              <w:t>Recall</w:t>
            </w:r>
          </w:p>
        </w:tc>
        <w:tc>
          <w:tcPr>
            <w:tcW w:type="dxa" w:w="2016"/>
            <w:shd w:val="clear" w:color="auto" w:fill="3B2A20"/>
          </w:tcPr>
          <w:p>
            <w:pPr>
              <w:spacing w:before="60" w:after="60"/>
              <w:jc w:val="center"/>
            </w:pPr>
            <w:r>
              <w:rPr>
                <w:rFonts w:ascii="Calibri" w:hAnsi="Calibri"/>
                <w:b/>
                <w:color w:val="FFFFFF"/>
                <w:sz w:val="20"/>
              </w:rPr>
              <w:t>F1-Score</w:t>
            </w:r>
          </w:p>
        </w:tc>
        <w:tc>
          <w:tcPr>
            <w:tcW w:type="dxa" w:w="2016"/>
            <w:shd w:val="clear" w:color="auto" w:fill="3B2A20"/>
          </w:tcPr>
          <w:p>
            <w:pPr>
              <w:spacing w:before="60" w:after="60"/>
              <w:jc w:val="center"/>
            </w:pPr>
            <w:r>
              <w:rPr>
                <w:rFonts w:ascii="Calibri" w:hAnsi="Calibri"/>
                <w:b/>
                <w:color w:val="FFFFFF"/>
                <w:sz w:val="20"/>
              </w:rPr>
              <w:t>Support</w:t>
            </w:r>
          </w:p>
        </w:tc>
      </w:tr>
      <w:tr>
        <w:tc>
          <w:tcPr>
            <w:tcW w:type="dxa" w:w="2016"/>
          </w:tcPr>
          <w:p>
            <w:pPr>
              <w:spacing w:before="50" w:after="50"/>
              <w:jc w:val="left"/>
            </w:pPr>
            <w:r>
              <w:rPr>
                <w:rFonts w:ascii="Calibri" w:hAnsi="Calibri"/>
                <w:color w:val="2B2B2B"/>
                <w:sz w:val="19"/>
              </w:rPr>
              <w:t>Negative</w:t>
            </w:r>
          </w:p>
        </w:tc>
        <w:tc>
          <w:tcPr>
            <w:tcW w:type="dxa" w:w="2016"/>
          </w:tcPr>
          <w:p>
            <w:pPr>
              <w:spacing w:before="50" w:after="50"/>
              <w:jc w:val="center"/>
            </w:pPr>
            <w:r>
              <w:rPr>
                <w:rFonts w:ascii="Calibri" w:hAnsi="Calibri"/>
                <w:color w:val="2B2B2B"/>
                <w:sz w:val="19"/>
              </w:rPr>
              <w:t>0.90</w:t>
            </w:r>
          </w:p>
        </w:tc>
        <w:tc>
          <w:tcPr>
            <w:tcW w:type="dxa" w:w="2016"/>
          </w:tcPr>
          <w:p>
            <w:pPr>
              <w:spacing w:before="50" w:after="50"/>
              <w:jc w:val="center"/>
            </w:pPr>
            <w:r>
              <w:rPr>
                <w:rFonts w:ascii="Calibri" w:hAnsi="Calibri"/>
                <w:color w:val="2B2B2B"/>
                <w:sz w:val="19"/>
              </w:rPr>
              <w:t>0.84</w:t>
            </w:r>
          </w:p>
        </w:tc>
        <w:tc>
          <w:tcPr>
            <w:tcW w:type="dxa" w:w="2016"/>
          </w:tcPr>
          <w:p>
            <w:pPr>
              <w:spacing w:before="50" w:after="50"/>
              <w:jc w:val="center"/>
            </w:pPr>
            <w:r>
              <w:rPr>
                <w:rFonts w:ascii="Calibri" w:hAnsi="Calibri"/>
                <w:color w:val="2B2B2B"/>
                <w:sz w:val="19"/>
              </w:rPr>
              <w:t>0.86</w:t>
            </w:r>
          </w:p>
        </w:tc>
        <w:tc>
          <w:tcPr>
            <w:tcW w:type="dxa" w:w="2016"/>
          </w:tcPr>
          <w:p>
            <w:pPr>
              <w:spacing w:before="50" w:after="50"/>
              <w:jc w:val="center"/>
            </w:pPr>
            <w:r>
              <w:rPr>
                <w:rFonts w:ascii="Calibri" w:hAnsi="Calibri"/>
                <w:color w:val="2B2B2B"/>
                <w:sz w:val="19"/>
              </w:rPr>
              <w:t>512</w:t>
            </w:r>
          </w:p>
        </w:tc>
      </w:tr>
      <w:tr>
        <w:tc>
          <w:tcPr>
            <w:tcW w:type="dxa" w:w="2016"/>
            <w:shd w:val="clear" w:color="auto" w:fill="F2EFEA"/>
          </w:tcPr>
          <w:p>
            <w:pPr>
              <w:spacing w:before="50" w:after="50"/>
              <w:jc w:val="left"/>
            </w:pPr>
            <w:r>
              <w:rPr>
                <w:rFonts w:ascii="Calibri" w:hAnsi="Calibri"/>
                <w:color w:val="2B2B2B"/>
                <w:sz w:val="19"/>
              </w:rPr>
              <w:t>Positive</w:t>
            </w:r>
          </w:p>
        </w:tc>
        <w:tc>
          <w:tcPr>
            <w:tcW w:type="dxa" w:w="2016"/>
            <w:shd w:val="clear" w:color="auto" w:fill="F2EFEA"/>
          </w:tcPr>
          <w:p>
            <w:pPr>
              <w:spacing w:before="50" w:after="50"/>
              <w:jc w:val="center"/>
            </w:pPr>
            <w:r>
              <w:rPr>
                <w:rFonts w:ascii="Calibri" w:hAnsi="Calibri"/>
                <w:color w:val="2B2B2B"/>
                <w:sz w:val="19"/>
              </w:rPr>
              <w:t>0.84</w:t>
            </w:r>
          </w:p>
        </w:tc>
        <w:tc>
          <w:tcPr>
            <w:tcW w:type="dxa" w:w="2016"/>
            <w:shd w:val="clear" w:color="auto" w:fill="F2EFEA"/>
          </w:tcPr>
          <w:p>
            <w:pPr>
              <w:spacing w:before="50" w:after="50"/>
              <w:jc w:val="center"/>
            </w:pPr>
            <w:r>
              <w:rPr>
                <w:rFonts w:ascii="Calibri" w:hAnsi="Calibri"/>
                <w:color w:val="2B2B2B"/>
                <w:sz w:val="19"/>
              </w:rPr>
              <w:t>0.90</w:t>
            </w:r>
          </w:p>
        </w:tc>
        <w:tc>
          <w:tcPr>
            <w:tcW w:type="dxa" w:w="2016"/>
            <w:shd w:val="clear" w:color="auto" w:fill="F2EFEA"/>
          </w:tcPr>
          <w:p>
            <w:pPr>
              <w:spacing w:before="50" w:after="50"/>
              <w:jc w:val="center"/>
            </w:pPr>
            <w:r>
              <w:rPr>
                <w:rFonts w:ascii="Calibri" w:hAnsi="Calibri"/>
                <w:color w:val="2B2B2B"/>
                <w:sz w:val="19"/>
              </w:rPr>
              <w:t>0.87</w:t>
            </w:r>
          </w:p>
        </w:tc>
        <w:tc>
          <w:tcPr>
            <w:tcW w:type="dxa" w:w="2016"/>
            <w:shd w:val="clear" w:color="auto" w:fill="F2EFEA"/>
          </w:tcPr>
          <w:p>
            <w:pPr>
              <w:spacing w:before="50" w:after="50"/>
              <w:jc w:val="center"/>
            </w:pPr>
            <w:r>
              <w:rPr>
                <w:rFonts w:ascii="Calibri" w:hAnsi="Calibri"/>
                <w:color w:val="2B2B2B"/>
                <w:sz w:val="19"/>
              </w:rPr>
              <w:t>488</w:t>
            </w:r>
          </w:p>
        </w:tc>
      </w:tr>
      <w:tr>
        <w:tc>
          <w:tcPr>
            <w:tcW w:type="dxa" w:w="2016"/>
          </w:tcPr>
          <w:p>
            <w:pPr>
              <w:spacing w:before="50" w:after="50"/>
              <w:jc w:val="left"/>
            </w:pPr>
            <w:r>
              <w:rPr>
                <w:rFonts w:ascii="Calibri" w:hAnsi="Calibri"/>
                <w:b/>
                <w:color w:val="2B2B2B"/>
                <w:sz w:val="19"/>
              </w:rPr>
              <w:t>Accuracy</w:t>
            </w:r>
          </w:p>
        </w:tc>
        <w:tc>
          <w:tcPr>
            <w:tcW w:type="dxa" w:w="2016"/>
          </w:tcPr>
          <w:p>
            <w:pPr>
              <w:spacing w:before="50" w:after="50"/>
              <w:jc w:val="center"/>
            </w:pPr>
            <w:r>
              <w:rPr>
                <w:rFonts w:ascii="Calibri" w:hAnsi="Calibri"/>
                <w:b/>
                <w:color w:val="2B2B2B"/>
                <w:sz w:val="19"/>
              </w:rPr>
            </w:r>
          </w:p>
        </w:tc>
        <w:tc>
          <w:tcPr>
            <w:tcW w:type="dxa" w:w="2016"/>
          </w:tcPr>
          <w:p>
            <w:pPr>
              <w:spacing w:before="50" w:after="50"/>
              <w:jc w:val="center"/>
            </w:pPr>
            <w:r>
              <w:rPr>
                <w:rFonts w:ascii="Calibri" w:hAnsi="Calibri"/>
                <w:b/>
                <w:color w:val="2B2B2B"/>
                <w:sz w:val="19"/>
              </w:rPr>
            </w:r>
          </w:p>
        </w:tc>
        <w:tc>
          <w:tcPr>
            <w:tcW w:type="dxa" w:w="2016"/>
          </w:tcPr>
          <w:p>
            <w:pPr>
              <w:spacing w:before="50" w:after="50"/>
              <w:jc w:val="center"/>
            </w:pPr>
            <w:r>
              <w:rPr>
                <w:rFonts w:ascii="Calibri" w:hAnsi="Calibri"/>
                <w:b/>
                <w:color w:val="2B2B2B"/>
                <w:sz w:val="19"/>
              </w:rPr>
              <w:t>0.87</w:t>
            </w:r>
          </w:p>
        </w:tc>
        <w:tc>
          <w:tcPr>
            <w:tcW w:type="dxa" w:w="2016"/>
          </w:tcPr>
          <w:p>
            <w:pPr>
              <w:spacing w:before="50" w:after="50"/>
              <w:jc w:val="center"/>
            </w:pPr>
            <w:r>
              <w:rPr>
                <w:rFonts w:ascii="Calibri" w:hAnsi="Calibri"/>
                <w:b/>
                <w:color w:val="2B2B2B"/>
                <w:sz w:val="19"/>
              </w:rPr>
              <w:t>1000</w:t>
            </w:r>
          </w:p>
        </w:tc>
      </w:tr>
      <w:tr>
        <w:tc>
          <w:tcPr>
            <w:tcW w:type="dxa" w:w="2016"/>
            <w:shd w:val="clear" w:color="auto" w:fill="F2EFEA"/>
          </w:tcPr>
          <w:p>
            <w:pPr>
              <w:spacing w:before="50" w:after="50"/>
              <w:jc w:val="left"/>
            </w:pPr>
            <w:r>
              <w:rPr>
                <w:rFonts w:ascii="Calibri" w:hAnsi="Calibri"/>
                <w:b/>
                <w:color w:val="2B2B2B"/>
                <w:sz w:val="19"/>
              </w:rPr>
              <w:t>macro avg</w:t>
            </w:r>
          </w:p>
        </w:tc>
        <w:tc>
          <w:tcPr>
            <w:tcW w:type="dxa" w:w="2016"/>
            <w:shd w:val="clear" w:color="auto" w:fill="F2EFEA"/>
          </w:tcPr>
          <w:p>
            <w:pPr>
              <w:spacing w:before="50" w:after="50"/>
              <w:jc w:val="center"/>
            </w:pPr>
            <w:r>
              <w:rPr>
                <w:rFonts w:ascii="Calibri" w:hAnsi="Calibri"/>
                <w:b/>
                <w:color w:val="2B2B2B"/>
                <w:sz w:val="19"/>
              </w:rPr>
              <w:t>0.87</w:t>
            </w:r>
          </w:p>
        </w:tc>
        <w:tc>
          <w:tcPr>
            <w:tcW w:type="dxa" w:w="2016"/>
            <w:shd w:val="clear" w:color="auto" w:fill="F2EFEA"/>
          </w:tcPr>
          <w:p>
            <w:pPr>
              <w:spacing w:before="50" w:after="50"/>
              <w:jc w:val="center"/>
            </w:pPr>
            <w:r>
              <w:rPr>
                <w:rFonts w:ascii="Calibri" w:hAnsi="Calibri"/>
                <w:b/>
                <w:color w:val="2B2B2B"/>
                <w:sz w:val="19"/>
              </w:rPr>
              <w:t>0.87</w:t>
            </w:r>
          </w:p>
        </w:tc>
        <w:tc>
          <w:tcPr>
            <w:tcW w:type="dxa" w:w="2016"/>
            <w:shd w:val="clear" w:color="auto" w:fill="F2EFEA"/>
          </w:tcPr>
          <w:p>
            <w:pPr>
              <w:spacing w:before="50" w:after="50"/>
              <w:jc w:val="center"/>
            </w:pPr>
            <w:r>
              <w:rPr>
                <w:rFonts w:ascii="Calibri" w:hAnsi="Calibri"/>
                <w:b/>
                <w:color w:val="2B2B2B"/>
                <w:sz w:val="19"/>
              </w:rPr>
              <w:t>0.87</w:t>
            </w:r>
          </w:p>
        </w:tc>
        <w:tc>
          <w:tcPr>
            <w:tcW w:type="dxa" w:w="2016"/>
            <w:shd w:val="clear" w:color="auto" w:fill="F2EFEA"/>
          </w:tcPr>
          <w:p>
            <w:pPr>
              <w:spacing w:before="50" w:after="50"/>
              <w:jc w:val="center"/>
            </w:pPr>
            <w:r>
              <w:rPr>
                <w:rFonts w:ascii="Calibri" w:hAnsi="Calibri"/>
                <w:b/>
                <w:color w:val="2B2B2B"/>
                <w:sz w:val="19"/>
              </w:rPr>
              <w:t>1000</w:t>
            </w:r>
          </w:p>
        </w:tc>
      </w:tr>
      <w:tr>
        <w:tc>
          <w:tcPr>
            <w:tcW w:type="dxa" w:w="2016"/>
          </w:tcPr>
          <w:p>
            <w:pPr>
              <w:spacing w:before="50" w:after="50"/>
              <w:jc w:val="left"/>
            </w:pPr>
            <w:r>
              <w:rPr>
                <w:rFonts w:ascii="Calibri" w:hAnsi="Calibri"/>
                <w:b/>
                <w:color w:val="2B2B2B"/>
                <w:sz w:val="19"/>
              </w:rPr>
              <w:t>weighted avg</w:t>
            </w:r>
          </w:p>
        </w:tc>
        <w:tc>
          <w:tcPr>
            <w:tcW w:type="dxa" w:w="2016"/>
          </w:tcPr>
          <w:p>
            <w:pPr>
              <w:spacing w:before="50" w:after="50"/>
              <w:jc w:val="center"/>
            </w:pPr>
            <w:r>
              <w:rPr>
                <w:rFonts w:ascii="Calibri" w:hAnsi="Calibri"/>
                <w:b/>
                <w:color w:val="2B2B2B"/>
                <w:sz w:val="19"/>
              </w:rPr>
              <w:t>0.87</w:t>
            </w:r>
          </w:p>
        </w:tc>
        <w:tc>
          <w:tcPr>
            <w:tcW w:type="dxa" w:w="2016"/>
          </w:tcPr>
          <w:p>
            <w:pPr>
              <w:spacing w:before="50" w:after="50"/>
              <w:jc w:val="center"/>
            </w:pPr>
            <w:r>
              <w:rPr>
                <w:rFonts w:ascii="Calibri" w:hAnsi="Calibri"/>
                <w:b/>
                <w:color w:val="2B2B2B"/>
                <w:sz w:val="19"/>
              </w:rPr>
              <w:t>0.87</w:t>
            </w:r>
          </w:p>
        </w:tc>
        <w:tc>
          <w:tcPr>
            <w:tcW w:type="dxa" w:w="2016"/>
          </w:tcPr>
          <w:p>
            <w:pPr>
              <w:spacing w:before="50" w:after="50"/>
              <w:jc w:val="center"/>
            </w:pPr>
            <w:r>
              <w:rPr>
                <w:rFonts w:ascii="Calibri" w:hAnsi="Calibri"/>
                <w:b/>
                <w:color w:val="2B2B2B"/>
                <w:sz w:val="19"/>
              </w:rPr>
              <w:t>0.87</w:t>
            </w:r>
          </w:p>
        </w:tc>
        <w:tc>
          <w:tcPr>
            <w:tcW w:type="dxa" w:w="2016"/>
          </w:tcPr>
          <w:p>
            <w:pPr>
              <w:spacing w:before="50" w:after="50"/>
              <w:jc w:val="center"/>
            </w:pPr>
            <w:r>
              <w:rPr>
                <w:rFonts w:ascii="Calibri" w:hAnsi="Calibri"/>
                <w:b/>
                <w:color w:val="2B2B2B"/>
                <w:sz w:val="19"/>
              </w:rPr>
              <w:t>1000</w:t>
            </w:r>
          </w:p>
        </w:tc>
      </w:tr>
    </w:tbl>
    <w:p>
      <w:pPr>
        <w:spacing w:before="0" w:after="80"/>
      </w:pPr>
    </w:p>
    <w:p>
      <w:pPr>
        <w:spacing w:before="0" w:after="80" w:line="276" w:lineRule="auto"/>
      </w:pPr>
      <w:r>
        <w:rPr>
          <w:rFonts w:ascii="Calibri" w:hAnsi="Calibri"/>
          <w:color w:val="2B2B2B"/>
          <w:sz w:val="22"/>
        </w:rPr>
        <w:t>Negative review predictions exhibited higher precision (0.90 vs 0.84), indicating that when BERT predicts a review is negative, it is correct 9 times out of 10. Conversely, positive reviews achieved higher recall (0.90 vs 0.84), showing that the model successfully identified 90% of all truly positive reviews.</w:t>
      </w:r>
    </w:p>
    <w:p>
      <w:pPr>
        <w:keepNext/>
        <w:spacing w:before="280" w:after="80"/>
      </w:pPr>
      <w:r>
        <w:rPr>
          <w:rFonts w:ascii="Calibri" w:hAnsi="Calibri"/>
          <w:b/>
          <w:color w:val="3B2A20"/>
          <w:sz w:val="32"/>
        </w:rPr>
        <w:t>9. Qualitative Inference and Model Persistence</w:t>
      </w:r>
    </w:p>
    <w:p>
      <w:pPr>
        <w:spacing w:before="0" w:after="80" w:line="276" w:lineRule="auto"/>
      </w:pPr>
      <w:r>
        <w:rPr>
          <w:rFonts w:ascii="Calibri" w:hAnsi="Calibri"/>
          <w:color w:val="2B2B2B"/>
          <w:sz w:val="22"/>
        </w:rPr>
        <w:t>To evaluate real-world utility, custom movie reviews with subtle and nuanced expressions were tested through a dedicated inference function. Softmax probabilities were computed to determine classification confidence:</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3B2A20"/>
          </w:tcPr>
          <w:p>
            <w:pPr>
              <w:spacing w:before="60" w:after="60"/>
              <w:jc w:val="center"/>
            </w:pPr>
            <w:r>
              <w:rPr>
                <w:rFonts w:ascii="Calibri" w:hAnsi="Calibri"/>
                <w:b/>
                <w:color w:val="FFFFFF"/>
                <w:sz w:val="20"/>
              </w:rPr>
              <w:t>Review Text</w:t>
            </w:r>
          </w:p>
        </w:tc>
        <w:tc>
          <w:tcPr>
            <w:tcW w:type="dxa" w:w="3360"/>
            <w:shd w:val="clear" w:color="auto" w:fill="3B2A20"/>
          </w:tcPr>
          <w:p>
            <w:pPr>
              <w:spacing w:before="60" w:after="60"/>
              <w:jc w:val="center"/>
            </w:pPr>
            <w:r>
              <w:rPr>
                <w:rFonts w:ascii="Calibri" w:hAnsi="Calibri"/>
                <w:b/>
                <w:color w:val="FFFFFF"/>
                <w:sz w:val="20"/>
              </w:rPr>
              <w:t>Predicted Sentiment</w:t>
            </w:r>
          </w:p>
        </w:tc>
        <w:tc>
          <w:tcPr>
            <w:tcW w:type="dxa" w:w="3360"/>
            <w:shd w:val="clear" w:color="auto" w:fill="3B2A20"/>
          </w:tcPr>
          <w:p>
            <w:pPr>
              <w:spacing w:before="60" w:after="60"/>
              <w:jc w:val="center"/>
            </w:pPr>
            <w:r>
              <w:rPr>
                <w:rFonts w:ascii="Calibri" w:hAnsi="Calibri"/>
                <w:b/>
                <w:color w:val="FFFFFF"/>
                <w:sz w:val="20"/>
              </w:rPr>
              <w:t>Confidence Score</w:t>
            </w:r>
          </w:p>
        </w:tc>
      </w:tr>
      <w:tr>
        <w:tc>
          <w:tcPr>
            <w:tcW w:type="dxa" w:w="3360"/>
          </w:tcPr>
          <w:p>
            <w:pPr>
              <w:spacing w:before="50" w:after="50"/>
              <w:jc w:val="left"/>
            </w:pPr>
            <w:r>
              <w:rPr>
                <w:rFonts w:ascii="Calibri" w:hAnsi="Calibri"/>
                <w:color w:val="2B2B2B"/>
                <w:sz w:val="19"/>
              </w:rPr>
              <w:t>"This movie was absolutely fantastic. The acting and story were excellent."</w:t>
            </w:r>
          </w:p>
        </w:tc>
        <w:tc>
          <w:tcPr>
            <w:tcW w:type="dxa" w:w="3360"/>
          </w:tcPr>
          <w:p>
            <w:pPr>
              <w:spacing w:before="50" w:after="50"/>
              <w:jc w:val="center"/>
            </w:pPr>
            <w:r>
              <w:rPr>
                <w:rFonts w:ascii="Calibri" w:hAnsi="Calibri"/>
                <w:color w:val="2B2B2B"/>
                <w:sz w:val="19"/>
              </w:rPr>
              <w:t>Positive</w:t>
            </w:r>
          </w:p>
        </w:tc>
        <w:tc>
          <w:tcPr>
            <w:tcW w:type="dxa" w:w="3360"/>
          </w:tcPr>
          <w:p>
            <w:pPr>
              <w:spacing w:before="50" w:after="50"/>
              <w:jc w:val="center"/>
            </w:pPr>
            <w:r>
              <w:rPr>
                <w:rFonts w:ascii="Calibri" w:hAnsi="Calibri"/>
                <w:color w:val="2B2B2B"/>
                <w:sz w:val="19"/>
              </w:rPr>
              <w:t>98.84%</w:t>
            </w:r>
          </w:p>
        </w:tc>
      </w:tr>
      <w:tr>
        <w:tc>
          <w:tcPr>
            <w:tcW w:type="dxa" w:w="3360"/>
            <w:shd w:val="clear" w:color="auto" w:fill="F2EFEA"/>
          </w:tcPr>
          <w:p>
            <w:pPr>
              <w:spacing w:before="50" w:after="50"/>
              <w:jc w:val="left"/>
            </w:pPr>
            <w:r>
              <w:rPr>
                <w:rFonts w:ascii="Calibri" w:hAnsi="Calibri"/>
                <w:color w:val="2B2B2B"/>
                <w:sz w:val="19"/>
              </w:rPr>
              <w:t>"This movie was terrible and boring. I did not enjoy it at all."</w:t>
            </w:r>
          </w:p>
        </w:tc>
        <w:tc>
          <w:tcPr>
            <w:tcW w:type="dxa" w:w="3360"/>
            <w:shd w:val="clear" w:color="auto" w:fill="F2EFEA"/>
          </w:tcPr>
          <w:p>
            <w:pPr>
              <w:spacing w:before="50" w:after="50"/>
              <w:jc w:val="center"/>
            </w:pPr>
            <w:r>
              <w:rPr>
                <w:rFonts w:ascii="Calibri" w:hAnsi="Calibri"/>
                <w:color w:val="2B2B2B"/>
                <w:sz w:val="19"/>
              </w:rPr>
              <w:t>Negative</w:t>
            </w:r>
          </w:p>
        </w:tc>
        <w:tc>
          <w:tcPr>
            <w:tcW w:type="dxa" w:w="3360"/>
            <w:shd w:val="clear" w:color="auto" w:fill="F2EFEA"/>
          </w:tcPr>
          <w:p>
            <w:pPr>
              <w:spacing w:before="50" w:after="50"/>
              <w:jc w:val="center"/>
            </w:pPr>
            <w:r>
              <w:rPr>
                <w:rFonts w:ascii="Calibri" w:hAnsi="Calibri"/>
                <w:color w:val="2B2B2B"/>
                <w:sz w:val="19"/>
              </w:rPr>
              <w:t>98.74%</w:t>
            </w:r>
          </w:p>
        </w:tc>
      </w:tr>
      <w:tr>
        <w:tc>
          <w:tcPr>
            <w:tcW w:type="dxa" w:w="3360"/>
          </w:tcPr>
          <w:p>
            <w:pPr>
              <w:spacing w:before="50" w:after="50"/>
              <w:jc w:val="left"/>
            </w:pPr>
            <w:r>
              <w:rPr>
                <w:rFonts w:ascii="Calibri" w:hAnsi="Calibri"/>
                <w:color w:val="2B2B2B"/>
                <w:sz w:val="19"/>
              </w:rPr>
              <w:t>"I really enjoyed this movie. It was amazing!"</w:t>
            </w:r>
          </w:p>
        </w:tc>
        <w:tc>
          <w:tcPr>
            <w:tcW w:type="dxa" w:w="3360"/>
          </w:tcPr>
          <w:p>
            <w:pPr>
              <w:spacing w:before="50" w:after="50"/>
              <w:jc w:val="center"/>
            </w:pPr>
            <w:r>
              <w:rPr>
                <w:rFonts w:ascii="Calibri" w:hAnsi="Calibri"/>
                <w:color w:val="2B2B2B"/>
                <w:sz w:val="19"/>
              </w:rPr>
              <w:t>Positive</w:t>
            </w:r>
          </w:p>
        </w:tc>
        <w:tc>
          <w:tcPr>
            <w:tcW w:type="dxa" w:w="3360"/>
          </w:tcPr>
          <w:p>
            <w:pPr>
              <w:spacing w:before="50" w:after="50"/>
              <w:jc w:val="center"/>
            </w:pPr>
            <w:r>
              <w:rPr>
                <w:rFonts w:ascii="Calibri" w:hAnsi="Calibri"/>
                <w:color w:val="2B2B2B"/>
                <w:sz w:val="19"/>
              </w:rPr>
              <w:t>98.69%</w:t>
            </w:r>
          </w:p>
        </w:tc>
      </w:tr>
      <w:tr>
        <w:tc>
          <w:tcPr>
            <w:tcW w:type="dxa" w:w="3360"/>
            <w:shd w:val="clear" w:color="auto" w:fill="F2EFEA"/>
          </w:tcPr>
          <w:p>
            <w:pPr>
              <w:spacing w:before="50" w:after="50"/>
              <w:jc w:val="left"/>
            </w:pPr>
            <w:r>
              <w:rPr>
                <w:rFonts w:ascii="Calibri" w:hAnsi="Calibri"/>
                <w:color w:val="2B2B2B"/>
                <w:sz w:val="19"/>
              </w:rPr>
              <w:t>"The movie was boring and poorly made."</w:t>
            </w:r>
          </w:p>
        </w:tc>
        <w:tc>
          <w:tcPr>
            <w:tcW w:type="dxa" w:w="3360"/>
            <w:shd w:val="clear" w:color="auto" w:fill="F2EFEA"/>
          </w:tcPr>
          <w:p>
            <w:pPr>
              <w:spacing w:before="50" w:after="50"/>
              <w:jc w:val="center"/>
            </w:pPr>
            <w:r>
              <w:rPr>
                <w:rFonts w:ascii="Calibri" w:hAnsi="Calibri"/>
                <w:color w:val="2B2B2B"/>
                <w:sz w:val="19"/>
              </w:rPr>
              <w:t>Negative</w:t>
            </w:r>
          </w:p>
        </w:tc>
        <w:tc>
          <w:tcPr>
            <w:tcW w:type="dxa" w:w="3360"/>
            <w:shd w:val="clear" w:color="auto" w:fill="F2EFEA"/>
          </w:tcPr>
          <w:p>
            <w:pPr>
              <w:spacing w:before="50" w:after="50"/>
              <w:jc w:val="center"/>
            </w:pPr>
            <w:r>
              <w:rPr>
                <w:rFonts w:ascii="Calibri" w:hAnsi="Calibri"/>
                <w:color w:val="2B2B2B"/>
                <w:sz w:val="19"/>
              </w:rPr>
              <w:t>98.62%</w:t>
            </w:r>
          </w:p>
        </w:tc>
      </w:tr>
      <w:tr>
        <w:tc>
          <w:tcPr>
            <w:tcW w:type="dxa" w:w="3360"/>
          </w:tcPr>
          <w:p>
            <w:pPr>
              <w:spacing w:before="50" w:after="50"/>
              <w:jc w:val="left"/>
            </w:pPr>
            <w:r>
              <w:rPr>
                <w:rFonts w:ascii="Calibri" w:hAnsi="Calibri"/>
                <w:color w:val="2B2B2B"/>
                <w:sz w:val="19"/>
              </w:rPr>
              <w:t>"Excellent acting and a wonderful storyline."</w:t>
            </w:r>
          </w:p>
        </w:tc>
        <w:tc>
          <w:tcPr>
            <w:tcW w:type="dxa" w:w="3360"/>
          </w:tcPr>
          <w:p>
            <w:pPr>
              <w:spacing w:before="50" w:after="50"/>
              <w:jc w:val="center"/>
            </w:pPr>
            <w:r>
              <w:rPr>
                <w:rFonts w:ascii="Calibri" w:hAnsi="Calibri"/>
                <w:color w:val="2B2B2B"/>
                <w:sz w:val="19"/>
              </w:rPr>
              <w:t>Positive</w:t>
            </w:r>
          </w:p>
        </w:tc>
        <w:tc>
          <w:tcPr>
            <w:tcW w:type="dxa" w:w="3360"/>
          </w:tcPr>
          <w:p>
            <w:pPr>
              <w:spacing w:before="50" w:after="50"/>
              <w:jc w:val="center"/>
            </w:pPr>
            <w:r>
              <w:rPr>
                <w:rFonts w:ascii="Calibri" w:hAnsi="Calibri"/>
                <w:color w:val="2B2B2B"/>
                <w:sz w:val="19"/>
              </w:rPr>
              <w:t>98.71%</w:t>
            </w:r>
          </w:p>
        </w:tc>
      </w:tr>
      <w:tr>
        <w:tc>
          <w:tcPr>
            <w:tcW w:type="dxa" w:w="3360"/>
            <w:shd w:val="clear" w:color="auto" w:fill="F2EFEA"/>
          </w:tcPr>
          <w:p>
            <w:pPr>
              <w:spacing w:before="50" w:after="50"/>
              <w:jc w:val="left"/>
            </w:pPr>
            <w:r>
              <w:rPr>
                <w:rFonts w:ascii="Calibri" w:hAnsi="Calibri"/>
                <w:color w:val="2B2B2B"/>
                <w:sz w:val="19"/>
              </w:rPr>
              <w:t>"I regret watching this movie. It was terrible."</w:t>
            </w:r>
          </w:p>
        </w:tc>
        <w:tc>
          <w:tcPr>
            <w:tcW w:type="dxa" w:w="3360"/>
            <w:shd w:val="clear" w:color="auto" w:fill="F2EFEA"/>
          </w:tcPr>
          <w:p>
            <w:pPr>
              <w:spacing w:before="50" w:after="50"/>
              <w:jc w:val="center"/>
            </w:pPr>
            <w:r>
              <w:rPr>
                <w:rFonts w:ascii="Calibri" w:hAnsi="Calibri"/>
                <w:color w:val="2B2B2B"/>
                <w:sz w:val="19"/>
              </w:rPr>
              <w:t>Negative</w:t>
            </w:r>
          </w:p>
        </w:tc>
        <w:tc>
          <w:tcPr>
            <w:tcW w:type="dxa" w:w="3360"/>
            <w:shd w:val="clear" w:color="auto" w:fill="F2EFEA"/>
          </w:tcPr>
          <w:p>
            <w:pPr>
              <w:spacing w:before="50" w:after="50"/>
              <w:jc w:val="center"/>
            </w:pPr>
            <w:r>
              <w:rPr>
                <w:rFonts w:ascii="Calibri" w:hAnsi="Calibri"/>
                <w:color w:val="2B2B2B"/>
                <w:sz w:val="19"/>
              </w:rPr>
              <w:t>97.79%</w:t>
            </w:r>
          </w:p>
        </w:tc>
      </w:tr>
      <w:tr>
        <w:tc>
          <w:tcPr>
            <w:tcW w:type="dxa" w:w="3360"/>
          </w:tcPr>
          <w:p>
            <w:pPr>
              <w:spacing w:before="50" w:after="50"/>
              <w:jc w:val="left"/>
            </w:pPr>
            <w:r>
              <w:rPr>
                <w:rFonts w:ascii="Calibri" w:hAnsi="Calibri"/>
                <w:color w:val="2B2B2B"/>
                <w:sz w:val="19"/>
              </w:rPr>
              <w:t>"The movie was okay but nothing special."</w:t>
            </w:r>
          </w:p>
        </w:tc>
        <w:tc>
          <w:tcPr>
            <w:tcW w:type="dxa" w:w="3360"/>
          </w:tcPr>
          <w:p>
            <w:pPr>
              <w:spacing w:before="50" w:after="50"/>
              <w:jc w:val="center"/>
            </w:pPr>
            <w:r>
              <w:rPr>
                <w:rFonts w:ascii="Calibri" w:hAnsi="Calibri"/>
                <w:color w:val="2B2B2B"/>
                <w:sz w:val="19"/>
              </w:rPr>
              <w:t>Positive</w:t>
            </w:r>
          </w:p>
        </w:tc>
        <w:tc>
          <w:tcPr>
            <w:tcW w:type="dxa" w:w="3360"/>
          </w:tcPr>
          <w:p>
            <w:pPr>
              <w:spacing w:before="50" w:after="50"/>
              <w:jc w:val="center"/>
            </w:pPr>
            <w:r>
              <w:rPr>
                <w:rFonts w:ascii="Calibri" w:hAnsi="Calibri"/>
                <w:color w:val="2B2B2B"/>
                <w:sz w:val="19"/>
              </w:rPr>
              <w:t>87.67%</w:t>
            </w:r>
          </w:p>
        </w:tc>
      </w:tr>
    </w:tbl>
    <w:p>
      <w:pPr>
        <w:spacing w:before="0" w:after="80"/>
      </w:pPr>
    </w:p>
    <w:p>
      <w:pPr>
        <w:spacing w:before="0" w:after="80" w:line="276" w:lineRule="auto"/>
      </w:pPr>
      <w:r>
        <w:rPr>
          <w:rFonts w:ascii="Calibri" w:hAnsi="Calibri"/>
          <w:color w:val="2B2B2B"/>
          <w:sz w:val="22"/>
        </w:rPr>
        <w:t>For strongly worded reviews, the model achieves over 98% confidence. Interestingly, for ambivalent phrasing ('okay but nothing special'), the confidence drops appropriately to 87.67%, accurately reflecting the mixed sentiment.</w:t>
      </w:r>
    </w:p>
    <w:p>
      <w:pPr>
        <w:spacing w:before="120" w:after="40"/>
        <w:jc w:val="center"/>
      </w:pPr>
      <w:r>
        <w:drawing>
          <wp:inline xmlns:a="http://schemas.openxmlformats.org/drawingml/2006/main" xmlns:pic="http://schemas.openxmlformats.org/drawingml/2006/picture">
            <wp:extent cx="5029200" cy="2386541"/>
            <wp:docPr id="4" name="Picture 4"/>
            <wp:cNvGraphicFramePr>
              <a:graphicFrameLocks noChangeAspect="1"/>
            </wp:cNvGraphicFramePr>
            <a:graphic>
              <a:graphicData uri="http://schemas.openxmlformats.org/drawingml/2006/picture">
                <pic:pic>
                  <pic:nvPicPr>
                    <pic:cNvPr id="0" name="sample_predictions.png"/>
                    <pic:cNvPicPr/>
                  </pic:nvPicPr>
                  <pic:blipFill>
                    <a:blip r:embed="rId13"/>
                    <a:stretch>
                      <a:fillRect/>
                    </a:stretch>
                  </pic:blipFill>
                  <pic:spPr>
                    <a:xfrm>
                      <a:off x="0" y="0"/>
                      <a:ext cx="5029200" cy="2386541"/>
                    </a:xfrm>
                    <a:prstGeom prst="rect"/>
                  </pic:spPr>
                </pic:pic>
              </a:graphicData>
            </a:graphic>
          </wp:inline>
        </w:drawing>
      </w:r>
    </w:p>
    <w:p>
      <w:pPr>
        <w:spacing w:before="40" w:after="160"/>
        <w:jc w:val="center"/>
      </w:pPr>
      <w:r>
        <w:rPr>
          <w:rFonts w:ascii="Calibri" w:hAnsi="Calibri"/>
          <w:i/>
          <w:color w:val="6E6E6E"/>
          <w:sz w:val="20"/>
        </w:rPr>
        <w:t>Figure 4: Softmax confidence scores for custom inference reviews.</w:t>
      </w:r>
    </w:p>
    <w:p>
      <w:pPr>
        <w:keepNext/>
        <w:spacing w:before="200" w:after="60"/>
      </w:pPr>
      <w:r>
        <w:rPr>
          <w:rFonts w:ascii="Calibri" w:hAnsi="Calibri"/>
          <w:b/>
          <w:color w:val="3B2A20"/>
          <w:sz w:val="26"/>
        </w:rPr>
        <w:t>9.1 Model Persistence and Reloading</w:t>
      </w:r>
    </w:p>
    <w:p>
      <w:pPr>
        <w:spacing w:before="0" w:after="80" w:line="276" w:lineRule="auto"/>
      </w:pPr>
      <w:r>
        <w:rPr>
          <w:rFonts w:ascii="Calibri" w:hAnsi="Calibri"/>
          <w:color w:val="2B2B2B"/>
          <w:sz w:val="22"/>
        </w:rPr>
        <w:t>The fine-tuned model weights, configuration, and tokenizer vocabulary were saved to disk (/content/bert_sentiment_model) and subsequently reloaded into an independent pipeline to verify deterministic reproducibility:</w:t>
      </w:r>
    </w:p>
    <w:p>
      <w:pPr>
        <w:spacing w:before="120" w:after="160"/>
        <w:pBdr>
          <w:top w:val="single" w:sz="4" w:space="0" w:color="C9C2B8"/>
          <w:left w:val="single" w:sz="4" w:space="0" w:color="C9C2B8"/>
          <w:bottom w:val="single" w:sz="4" w:space="0" w:color="C9C2B8"/>
          <w:right w:val="single" w:sz="4" w:space="0" w:color="C9C2B8"/>
        </w:pBdr>
        <w:shd w:val="clear" w:color="auto" w:fill="F5F3EF"/>
      </w:pPr>
      <w:r>
        <w:rPr>
          <w:rFonts w:ascii="Consolas" w:hAnsi="Consolas"/>
          <w:color w:val="3B3B3B"/>
          <w:sz w:val="18"/>
        </w:rPr>
        <w:t># Save model and tokenizer</w:t>
        <w:br/>
        <w:t>trainer.save_model("/content/bert_sentiment_model")</w:t>
        <w:br/>
        <w:t>tokenizer.save_pretrained("/content/bert_sentiment_model")</w:t>
        <w:br/>
        <w:br/>
        <w:t># Reload and verify inference</w:t>
        <w:br/>
        <w:t>loaded_tokenizer = BertTokenizer.from_pretrained("/content/bert_sentiment_model")</w:t>
        <w:br/>
        <w:t>loaded_model = BertForSequenceClassification.from_pretrained("/content/bert_sentiment_model")</w:t>
        <w:br/>
        <w:t># Verified inference output: "The movie was wonderful..." -&gt; Positive (98.15% confidence)</w:t>
      </w:r>
    </w:p>
    <w:p>
      <w:pPr>
        <w:keepNext/>
        <w:spacing w:before="280" w:after="80"/>
      </w:pPr>
      <w:r>
        <w:rPr>
          <w:rFonts w:ascii="Calibri" w:hAnsi="Calibri"/>
          <w:b/>
          <w:color w:val="3B2A20"/>
          <w:sz w:val="32"/>
        </w:rPr>
        <w:t>10. Conclusion</w:t>
      </w:r>
    </w:p>
    <w:p>
      <w:pPr>
        <w:spacing w:before="0" w:after="80" w:line="276" w:lineRule="auto"/>
      </w:pPr>
      <w:r>
        <w:rPr>
          <w:rFonts w:ascii="Calibri" w:hAnsi="Calibri"/>
          <w:color w:val="2B2B2B"/>
          <w:sz w:val="22"/>
        </w:rPr>
        <w:t>In this assignment, we successfully implemented, fine-tuned, and evaluated a pretrained BERT model for sentiment classification on the IMDb dataset. By leveraging the bidirectional self-attention mechanisms of the Transformer architecture, BERT circumvents the fundamental vanishing gradient and sequential dependency limitations that hindered the Simple RNN (50.76% accuracy in Assignment 5). Furthermore, BERT attained an impressive 86.60% test accuracy and 0.8660 F1-score with merely 5,000 training examples in 2 epochs, outperforming or matching recurrent models trained on 40,000 examples.</w:t>
      </w:r>
    </w:p>
    <w:p>
      <w:pPr>
        <w:spacing w:before="0" w:after="80" w:line="276" w:lineRule="auto"/>
      </w:pPr>
      <w:r>
        <w:rPr>
          <w:rFonts w:ascii="Calibri" w:hAnsi="Calibri"/>
          <w:color w:val="2B2B2B"/>
          <w:sz w:val="22"/>
        </w:rPr>
        <w:t>These results highlight the profound advantage of transfer learning in modern deep learning: pretraining on vast textual corpora enables deep linguistic abstraction that can be specialized to downstream tasks rapidly, reliably, and with minimal task-specific supervision.</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E6E6E"/>
        <w:sz w:val="16"/>
      </w:rPr>
      <w:t xml:space="preserve">Page </w:t>
    </w:r>
    <w:r>
      <w:rPr>
        <w:rFonts w:ascii="Calibri" w:hAnsi="Calibri"/>
        <w:color w:val="6E6E6E"/>
        <w:sz w:val="16"/>
      </w:rPr>
      <w:fldChar w:fldCharType="begin"/>
      <w:instrText>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