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i/>
          <w:sz w:val="28"/>
        </w:rPr>
        <w:t>BRACT’s</w:t>
      </w:r>
    </w:p>
    <w:p>
      <w:pPr>
        <w:spacing w:before="0" w:after="40"/>
        <w:jc w:val="center"/>
      </w:pPr>
      <w:r>
        <w:rPr>
          <w:rFonts w:ascii="Calibri" w:hAnsi="Calibri"/>
          <w:b/>
          <w:sz w:val="28"/>
        </w:rPr>
        <w:t>Vishwakarma Institute of Technology, Pune</w:t>
      </w:r>
    </w:p>
    <w:p>
      <w:pPr>
        <w:spacing w:before="0" w:after="40"/>
        <w:jc w:val="center"/>
      </w:pPr>
      <w:r>
        <w:rPr>
          <w:rFonts w:ascii="Calibri" w:hAnsi="Calibri"/>
          <w:b/>
          <w:sz w:val="28"/>
        </w:rPr>
        <w:t>Practical Implementation Sheet</w:t>
      </w:r>
    </w:p>
    <w:p>
      <w:pPr>
        <w:spacing w:before="0" w:after="40"/>
        <w:jc w:val="center"/>
      </w:pPr>
      <w:r>
        <w:rPr>
          <w:rFonts w:ascii="Calibri" w:hAnsi="Calibri"/>
          <w:sz w:val="28"/>
        </w:rPr>
        <w:t>Department:  CSE-AI        Semester: 5</w:t>
        <w:tab/>
        <w:t>Academic Year: 2026-27</w:t>
      </w:r>
    </w:p>
    <w:p>
      <w:pPr>
        <w:spacing w:before="0" w:after="40"/>
        <w:jc w:val="center"/>
      </w:pPr>
      <w:r>
        <w:rPr>
          <w:rFonts w:ascii="Calibri" w:hAnsi="Calibri"/>
          <w:sz w:val="28"/>
        </w:rPr>
        <w:t xml:space="preserve">Division:   E </w:t>
        <w:tab/>
        <w:t xml:space="preserve">Batch:3     </w:t>
        <w:tab/>
        <w:t xml:space="preserve">Practical No: 9  </w:t>
      </w:r>
    </w:p>
    <w:p>
      <w:pPr>
        <w:spacing w:before="0" w:after="40"/>
        <w:jc w:val="center"/>
      </w:pPr>
      <w:r>
        <w:rPr>
          <w:rFonts w:ascii="Calibri" w:hAnsi="Calibri"/>
          <w:sz w:val="28"/>
        </w:rPr>
        <w:t xml:space="preserve"> Roll no: 58          PRN No: 12412806        Name of Student: Shadab Hussain  </w:t>
      </w:r>
    </w:p>
    <w:p>
      <w:pPr>
        <w:spacing w:before="0" w:after="160"/>
        <w:jc w:val="center"/>
      </w:pPr>
      <w:r>
        <w:rPr>
          <w:rFonts w:ascii="Calibri" w:hAnsi="Calibri"/>
          <w:b/>
          <w:sz w:val="28"/>
        </w:rPr>
        <w:t xml:space="preserve">Subject Name : </w:t>
      </w:r>
      <w:r>
        <w:rPr>
          <w:rFonts w:ascii="Calibri" w:hAnsi="Calibri"/>
          <w:b/>
          <w:sz w:val="28"/>
        </w:rPr>
        <w:t>Deep Learning</w:t>
      </w:r>
    </w:p>
    <w:p>
      <w:pPr>
        <w:keepNext/>
        <w:spacing w:before="280" w:after="80"/>
      </w:pPr>
      <w:r>
        <w:rPr>
          <w:rFonts w:ascii="Calibri" w:hAnsi="Calibri"/>
          <w:b/>
          <w:color w:val="3B2A20"/>
          <w:sz w:val="32"/>
        </w:rPr>
        <w:t>1. Introduction</w:t>
      </w:r>
    </w:p>
    <w:p>
      <w:pPr>
        <w:spacing w:before="0" w:after="80" w:line="276" w:lineRule="auto"/>
      </w:pPr>
      <w:r>
        <w:rPr>
          <w:rFonts w:ascii="Calibri" w:hAnsi="Calibri"/>
          <w:color w:val="2B2B2B"/>
          <w:sz w:val="22"/>
        </w:rPr>
        <w:t>Computer Vision has historically been dominated by Convolutional Neural Networks (CNNs). CNNs incorporate strong inductive biases — namely, spatial locality (pixels close to each other are strongly correlated) and translation invariance (a feature's identity does not depend on its absolute position). These properties allow CNNs to train efficiently from scratch on small-to-medium sized image datasets.</w:t>
      </w:r>
    </w:p>
    <w:p>
      <w:pPr>
        <w:spacing w:before="0" w:after="80" w:line="276" w:lineRule="auto"/>
      </w:pPr>
      <w:r>
        <w:rPr>
          <w:rFonts w:ascii="Calibri" w:hAnsi="Calibri"/>
          <w:color w:val="2B2B2B"/>
          <w:sz w:val="22"/>
        </w:rPr>
        <w:t>In contrast, the Vision Transformer (ViT), introduced by Dosovitskiy et al., eliminates convolution operations entirely in favor of pure multi-head self-attention applied to sequences of non-overlapping image patches. Without spatial inductive biases, ViTs model global relationships between distant patches right from the initial layers. When pretrained on large-scale datasets such as ImageNet-21k, ViTs develop exceptional visual representations that transfer effectively to downstream image classification tasks.</w:t>
      </w:r>
    </w:p>
    <w:p>
      <w:pPr>
        <w:spacing w:before="0" w:after="80" w:line="276" w:lineRule="auto"/>
      </w:pPr>
      <w:r>
        <w:rPr>
          <w:rFonts w:ascii="Calibri" w:hAnsi="Calibri"/>
          <w:color w:val="2B2B2B"/>
          <w:sz w:val="22"/>
        </w:rPr>
        <w:t>This practical presents a quantitative and qualitative comparison between a multi-stage CNN trained from scratch and a pretrained Vision Transformer (ViT-Base-Patch16-224) fine-tuned on the standard CIFAR-10 benchmark. We evaluate both architectures across accuracy, precision, recall, F1-score, confusion matrices, training efficiency, and qualitative test predictions.</w:t>
      </w:r>
    </w:p>
    <w:p>
      <w:pPr>
        <w:keepNext/>
        <w:spacing w:before="280" w:after="80"/>
      </w:pPr>
      <w:r>
        <w:rPr>
          <w:rFonts w:ascii="Calibri" w:hAnsi="Calibri"/>
          <w:b/>
          <w:color w:val="3B2A20"/>
          <w:sz w:val="32"/>
        </w:rPr>
        <w:t>2. Dataset Overview</w:t>
      </w:r>
    </w:p>
    <w:p>
      <w:pPr>
        <w:spacing w:before="0" w:after="80" w:line="276" w:lineRule="auto"/>
      </w:pPr>
      <w:r>
        <w:rPr>
          <w:rFonts w:ascii="Calibri" w:hAnsi="Calibri"/>
          <w:color w:val="2B2B2B"/>
          <w:sz w:val="22"/>
        </w:rPr>
        <w:t>The CIFAR-10 dataset consists of 60,000 32x32 color images across 10 mutually exclusive classes: airplane, automobile, bird, cat, deer, dog, frog, horse, ship, and truck. The dataset is partitioned into 45,000 training images, 5,000 validation images, and 10,000 held-out test images (exactly 1,000 test images per class).</w:t>
      </w:r>
    </w:p>
    <w:p>
      <w:pPr>
        <w:spacing w:before="120" w:after="40"/>
        <w:jc w:val="center"/>
      </w:pPr>
      <w:r>
        <w:drawing>
          <wp:inline xmlns:a="http://schemas.openxmlformats.org/drawingml/2006/main" xmlns:pic="http://schemas.openxmlformats.org/drawingml/2006/picture">
            <wp:extent cx="5303520" cy="3750923"/>
            <wp:docPr id="1" name="Picture 1"/>
            <wp:cNvGraphicFramePr>
              <a:graphicFrameLocks noChangeAspect="1"/>
            </wp:cNvGraphicFramePr>
            <a:graphic>
              <a:graphicData uri="http://schemas.openxmlformats.org/drawingml/2006/picture">
                <pic:pic>
                  <pic:nvPicPr>
                    <pic:cNvPr id="0" name="cell_5_out_0.png"/>
                    <pic:cNvPicPr/>
                  </pic:nvPicPr>
                  <pic:blipFill>
                    <a:blip r:embed="rId10"/>
                    <a:stretch>
                      <a:fillRect/>
                    </a:stretch>
                  </pic:blipFill>
                  <pic:spPr>
                    <a:xfrm>
                      <a:off x="0" y="0"/>
                      <a:ext cx="5303520" cy="3750923"/>
                    </a:xfrm>
                    <a:prstGeom prst="rect"/>
                  </pic:spPr>
                </pic:pic>
              </a:graphicData>
            </a:graphic>
          </wp:inline>
        </w:drawing>
      </w:r>
    </w:p>
    <w:p>
      <w:pPr>
        <w:spacing w:before="40" w:after="160"/>
        <w:jc w:val="center"/>
      </w:pPr>
      <w:r>
        <w:rPr>
          <w:rFonts w:ascii="Calibri" w:hAnsi="Calibri"/>
          <w:i/>
          <w:color w:val="6E6E6E"/>
          <w:sz w:val="20"/>
        </w:rPr>
        <w:t>Figure 1: Sample CIFAR-10 images displaying representative classes and visual diversity.</w:t>
      </w:r>
    </w:p>
    <w:p>
      <w:pPr>
        <w:keepNext/>
        <w:spacing w:before="280" w:after="80"/>
      </w:pPr>
      <w:r>
        <w:rPr>
          <w:rFonts w:ascii="Calibri" w:hAnsi="Calibri"/>
          <w:b/>
          <w:color w:val="3B2A20"/>
          <w:sz w:val="32"/>
        </w:rPr>
        <w:t>3. Data Preprocessing Pipelines</w:t>
      </w:r>
    </w:p>
    <w:p>
      <w:pPr>
        <w:spacing w:before="0" w:after="80" w:line="276" w:lineRule="auto"/>
      </w:pPr>
      <w:r>
        <w:rPr>
          <w:rFonts w:ascii="Calibri" w:hAnsi="Calibri"/>
          <w:color w:val="2B2B2B"/>
          <w:sz w:val="22"/>
        </w:rPr>
        <w:t>Because CNNs and Vision Transformers process input data through fundamentally distinct mechanisms, customized preprocessing pipelines were employed:</w:t>
      </w:r>
    </w:p>
    <w:p>
      <w:pPr>
        <w:pStyle w:val="ListParagraph"/>
        <w:spacing w:before="0" w:after="60" w:line="276" w:lineRule="auto"/>
      </w:pPr>
      <w:r>
        <w:rPr>
          <w:rFonts w:ascii="Calibri" w:hAnsi="Calibri"/>
          <w:b/>
          <w:color w:val="2B2B2B"/>
          <w:sz w:val="22"/>
        </w:rPr>
        <w:t xml:space="preserve">CNN Preprocessing: </w:t>
      </w:r>
      <w:r>
        <w:rPr>
          <w:rFonts w:ascii="Calibri" w:hAnsi="Calibri"/>
          <w:color w:val="2B2B2B"/>
          <w:sz w:val="22"/>
        </w:rPr>
        <w:t>Images were kept at their native 32x32 resolution. Data augmentations including RandomCrop(32, padding=4) and RandomHorizontalFlip() were applied, followed by normalization with channel means [0.4914, 0.4822, 0.4465] and standard deviations [0.2470, 0.2435, 0.2616].</w:t>
      </w:r>
    </w:p>
    <w:p>
      <w:pPr>
        <w:pStyle w:val="ListParagraph"/>
        <w:spacing w:before="0" w:after="60" w:line="276" w:lineRule="auto"/>
      </w:pPr>
      <w:r>
        <w:rPr>
          <w:rFonts w:ascii="Calibri" w:hAnsi="Calibri"/>
          <w:b/>
          <w:color w:val="2B2B2B"/>
          <w:sz w:val="22"/>
        </w:rPr>
        <w:t xml:space="preserve">ViT Preprocessing: </w:t>
      </w:r>
      <w:r>
        <w:rPr>
          <w:rFonts w:ascii="Calibri" w:hAnsi="Calibri"/>
          <w:color w:val="2B2B2B"/>
          <w:sz w:val="22"/>
        </w:rPr>
        <w:t>Images were processed using the Hugging Face ViTImageProcessor corresponding to google/vit-base-patch16-224-in21k. Images were bilinearly upsampled to 224x224 pixels and normalized to ImageNet distribution (mean 0.5, std 0.5 across RGB channels).</w:t>
      </w:r>
    </w:p>
    <w:p>
      <w:pPr>
        <w:pStyle w:val="ListParagraph"/>
        <w:spacing w:before="0" w:after="60" w:line="276" w:lineRule="auto"/>
      </w:pPr>
      <w:r>
        <w:rPr>
          <w:rFonts w:ascii="Calibri" w:hAnsi="Calibri"/>
          <w:b/>
          <w:color w:val="2B2B2B"/>
          <w:sz w:val="22"/>
        </w:rPr>
        <w:t xml:space="preserve">Patch Tokenization: </w:t>
      </w:r>
      <w:r>
        <w:rPr>
          <w:rFonts w:ascii="Calibri" w:hAnsi="Calibri"/>
          <w:color w:val="2B2B2B"/>
          <w:sz w:val="22"/>
        </w:rPr>
        <w:t>At 224x224 resolution with 16x16 patch size, each image is partitioned into (224/16) x (224/16) = 196 discrete visual tokens, ready for self-attention.</w:t>
      </w:r>
    </w:p>
    <w:p>
      <w:pPr>
        <w:keepNext/>
        <w:spacing w:before="280" w:after="80"/>
      </w:pPr>
      <w:r>
        <w:rPr>
          <w:rFonts w:ascii="Calibri" w:hAnsi="Calibri"/>
          <w:b/>
          <w:color w:val="3B2A20"/>
          <w:sz w:val="32"/>
        </w:rPr>
        <w:t>4. Model Architectures</w:t>
      </w:r>
    </w:p>
    <w:p>
      <w:pPr>
        <w:spacing w:before="0" w:after="80" w:line="276" w:lineRule="auto"/>
      </w:pPr>
      <w:r>
        <w:rPr>
          <w:rFonts w:ascii="Calibri" w:hAnsi="Calibri"/>
          <w:color w:val="2B2B2B"/>
          <w:sz w:val="22"/>
        </w:rPr>
        <w:t>Both architectures were implemented and executed in PyTorch. The architectural specifications are summarized below.</w:t>
      </w:r>
    </w:p>
    <w:p>
      <w:pPr>
        <w:keepNext/>
        <w:spacing w:before="200" w:after="60"/>
      </w:pPr>
      <w:r>
        <w:rPr>
          <w:rFonts w:ascii="Calibri" w:hAnsi="Calibri"/>
          <w:b/>
          <w:color w:val="3B2A20"/>
          <w:sz w:val="26"/>
        </w:rPr>
        <w:t>4.1 Convolutional Neural Network (CNN)</w:t>
      </w:r>
    </w:p>
    <w:p>
      <w:pPr>
        <w:spacing w:before="0" w:after="80" w:line="276" w:lineRule="auto"/>
      </w:pPr>
      <w:r>
        <w:rPr>
          <w:rFonts w:ascii="Calibri" w:hAnsi="Calibri"/>
          <w:color w:val="2B2B2B"/>
          <w:sz w:val="22"/>
        </w:rPr>
        <w:t>The baseline CNN utilizes three hierarchical feature extraction stages with increasing filter depth (32 -&gt; 64 -&gt; 128), batch normalization, ReLU non-linearities, and max-pooling, followed by adaptive average pooling, dropout (0.3), and fully connected classification layers:</w:t>
      </w:r>
    </w:p>
    <w:p>
      <w:pPr>
        <w:spacing w:before="120" w:after="160"/>
        <w:pBdr>
          <w:top w:val="single" w:sz="4" w:space="0" w:color="C9C2B8"/>
          <w:left w:val="single" w:sz="4" w:space="0" w:color="C9C2B8"/>
          <w:bottom w:val="single" w:sz="4" w:space="0" w:color="C9C2B8"/>
          <w:right w:val="single" w:sz="4" w:space="0" w:color="C9C2B8"/>
        </w:pBdr>
        <w:shd w:val="clear" w:color="auto" w:fill="F5F3EF"/>
      </w:pPr>
      <w:r>
        <w:rPr>
          <w:rFonts w:ascii="Consolas" w:hAnsi="Consolas"/>
          <w:color w:val="3B3B3B"/>
          <w:sz w:val="18"/>
        </w:rPr>
        <w:t>class CNNModel(nn.Module):</w:t>
        <w:br/>
        <w:t xml:space="preserve">    def __init__(self, num_classes=10):</w:t>
        <w:br/>
        <w:t xml:space="preserve">        super().__init__()</w:t>
        <w:br/>
        <w:t xml:space="preserve">        self.features = nn.Sequential(</w:t>
        <w:br/>
        <w:t xml:space="preserve">            nn.Conv2d(3, 32, kernel_size=3, padding=1), nn.BatchNorm2d(32), nn.ReLU(),</w:t>
        <w:br/>
        <w:t xml:space="preserve">            nn.MaxPool2d(2, 2),</w:t>
        <w:br/>
        <w:t xml:space="preserve">            nn.Conv2d(32, 64, kernel_size=3, padding=1), nn.BatchNorm2d(64), nn.ReLU(),</w:t>
        <w:br/>
        <w:t xml:space="preserve">            nn.MaxPool2d(2, 2),</w:t>
        <w:br/>
        <w:t xml:space="preserve">            nn.Conv2d(64, 128, kernel_size=3, padding=1), nn.BatchNorm2d(128), nn.ReLU(),</w:t>
        <w:br/>
        <w:t xml:space="preserve">            nn.MaxPool2d(2, 2),</w:t>
        <w:br/>
        <w:t xml:space="preserve">        )</w:t>
        <w:br/>
        <w:t xml:space="preserve">        self.classifier = nn.Sequential(</w:t>
        <w:br/>
        <w:t xml:space="preserve">            nn.AdaptiveAvgPool2d((4, 4)),</w:t>
        <w:br/>
        <w:t xml:space="preserve">            nn.Flatten(),</w:t>
        <w:br/>
        <w:t xml:space="preserve">            nn.Linear(128 * 4 * 4, 256), nn.ReLU(), nn.Dropout(0.3),</w:t>
        <w:br/>
        <w:t xml:space="preserve">            nn.Linear(256, num_classes)</w:t>
        <w:br/>
        <w:t xml:space="preserve">        )</w:t>
        <w:br/>
        <w:t xml:space="preserve">    def forward(self, x):</w:t>
        <w:br/>
        <w:t xml:space="preserve">        return self.classifier(self.features(x))</w:t>
      </w:r>
    </w:p>
    <w:p>
      <w:pPr>
        <w:keepNext/>
        <w:spacing w:before="200" w:after="60"/>
      </w:pPr>
      <w:r>
        <w:rPr>
          <w:rFonts w:ascii="Calibri" w:hAnsi="Calibri"/>
          <w:b/>
          <w:color w:val="3B2A20"/>
          <w:sz w:val="26"/>
        </w:rPr>
        <w:t>4.2 Vision Transformer (ViT)</w:t>
      </w:r>
    </w:p>
    <w:p>
      <w:pPr>
        <w:spacing w:before="0" w:after="80" w:line="276" w:lineRule="auto"/>
      </w:pPr>
      <w:r>
        <w:rPr>
          <w:rFonts w:ascii="Calibri" w:hAnsi="Calibri"/>
          <w:color w:val="2B2B2B"/>
          <w:sz w:val="22"/>
        </w:rPr>
        <w:t>The ViT architecture employs google/vit-base-patch16-224-in21k, comprising 12 Transformer encoder blocks, 12 attention heads per block, a hidden dimension of 768, and 86 million parameters. The original 21,843-class pretraining head was replaced with a 10-class linear projection head:</w:t>
      </w:r>
    </w:p>
    <w:p>
      <w:pPr>
        <w:spacing w:before="120" w:after="160"/>
        <w:pBdr>
          <w:top w:val="single" w:sz="4" w:space="0" w:color="C9C2B8"/>
          <w:left w:val="single" w:sz="4" w:space="0" w:color="C9C2B8"/>
          <w:bottom w:val="single" w:sz="4" w:space="0" w:color="C9C2B8"/>
          <w:right w:val="single" w:sz="4" w:space="0" w:color="C9C2B8"/>
        </w:pBdr>
        <w:shd w:val="clear" w:color="auto" w:fill="F5F3EF"/>
      </w:pPr>
      <w:r>
        <w:rPr>
          <w:rFonts w:ascii="Consolas" w:hAnsi="Consolas"/>
          <w:color w:val="3B3B3B"/>
          <w:sz w:val="18"/>
        </w:rPr>
        <w:t>from transformers import ViTForImageClassification, ViTImageProcessor</w:t>
        <w:br/>
        <w:br/>
        <w:t>processor = ViTImageProcessor.from_pretrained("google/vit-base-patch16-224-in21k")</w:t>
        <w:br/>
        <w:t>model = ViTForImageClassification.from_pretrained(</w:t>
        <w:br/>
        <w:t xml:space="preserve">    "google/vit-base-patch16-224-in21k",</w:t>
        <w:br/>
        <w:t xml:space="preserve">    num_labels=10,</w:t>
        <w:br/>
        <w:t xml:space="preserve">    id2label={i: c for i, c in enumerate(classes)},</w:t>
        <w:br/>
        <w:t xml:space="preserve">    label2id={c: i for i, c in enumerate(classes)}</w:t>
        <w:br/>
        <w:t>)</w:t>
      </w:r>
    </w:p>
    <w:p>
      <w:pPr>
        <w:keepNext/>
        <w:spacing w:before="280" w:after="80"/>
      </w:pPr>
      <w:r>
        <w:rPr>
          <w:rFonts w:ascii="Calibri" w:hAnsi="Calibri"/>
          <w:b/>
          <w:color w:val="3B2A20"/>
          <w:sz w:val="32"/>
        </w:rPr>
        <w:t>5. Training and Optimization</w:t>
      </w:r>
    </w:p>
    <w:p>
      <w:pPr>
        <w:spacing w:before="0" w:after="80" w:line="276" w:lineRule="auto"/>
      </w:pPr>
      <w:r>
        <w:rPr>
          <w:rFonts w:ascii="Calibri" w:hAnsi="Calibri"/>
          <w:color w:val="2B2B2B"/>
          <w:sz w:val="22"/>
        </w:rPr>
        <w:t>Both models were trained using GPU acceleration in Google Colab. The training configurations and empirical convergence behaviors are detailed below.</w:t>
      </w:r>
    </w:p>
    <w:p>
      <w:pPr>
        <w:keepNext/>
        <w:spacing w:before="200" w:after="60"/>
      </w:pPr>
      <w:r>
        <w:rPr>
          <w:rFonts w:ascii="Calibri" w:hAnsi="Calibri"/>
          <w:b/>
          <w:color w:val="3B2A20"/>
          <w:sz w:val="26"/>
        </w:rPr>
        <w:t>5.1 CNN Training Progression</w:t>
      </w:r>
    </w:p>
    <w:p>
      <w:pPr>
        <w:spacing w:before="0" w:after="80" w:line="276" w:lineRule="auto"/>
      </w:pPr>
      <w:r>
        <w:rPr>
          <w:rFonts w:ascii="Calibri" w:hAnsi="Calibri"/>
          <w:color w:val="2B2B2B"/>
          <w:sz w:val="22"/>
        </w:rPr>
        <w:t>The CNN was trained from scratch for 5 epochs using the Adam optimizer (lr=0.001) and Cross-Entropy loss with batch size 64. Total training time was 1.53 minutes (91.8 seconds):</w:t>
      </w:r>
    </w:p>
    <w:tbl>
      <w:tblPr>
        <w:tblW w:type="auto" w:w="0"/>
        <w:jc w:val="cente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016"/>
        <w:gridCol w:w="2016"/>
        <w:gridCol w:w="2016"/>
        <w:gridCol w:w="2016"/>
        <w:gridCol w:w="2016"/>
      </w:tblGrid>
      <w:tr>
        <w:tc>
          <w:tcPr>
            <w:tcW w:type="dxa" w:w="2016"/>
            <w:shd w:val="clear" w:color="auto" w:fill="3B2A20"/>
          </w:tcPr>
          <w:p>
            <w:pPr>
              <w:spacing w:before="60" w:after="60"/>
              <w:jc w:val="center"/>
            </w:pPr>
            <w:r>
              <w:rPr>
                <w:rFonts w:ascii="Calibri" w:hAnsi="Calibri"/>
                <w:b/>
                <w:color w:val="FFFFFF"/>
                <w:sz w:val="20"/>
              </w:rPr>
              <w:t>Epoch</w:t>
            </w:r>
          </w:p>
        </w:tc>
        <w:tc>
          <w:tcPr>
            <w:tcW w:type="dxa" w:w="2016"/>
            <w:shd w:val="clear" w:color="auto" w:fill="3B2A20"/>
          </w:tcPr>
          <w:p>
            <w:pPr>
              <w:spacing w:before="60" w:after="60"/>
              <w:jc w:val="center"/>
            </w:pPr>
            <w:r>
              <w:rPr>
                <w:rFonts w:ascii="Calibri" w:hAnsi="Calibri"/>
                <w:b/>
                <w:color w:val="FFFFFF"/>
                <w:sz w:val="20"/>
              </w:rPr>
              <w:t>Train Loss</w:t>
            </w:r>
          </w:p>
        </w:tc>
        <w:tc>
          <w:tcPr>
            <w:tcW w:type="dxa" w:w="2016"/>
            <w:shd w:val="clear" w:color="auto" w:fill="3B2A20"/>
          </w:tcPr>
          <w:p>
            <w:pPr>
              <w:spacing w:before="60" w:after="60"/>
              <w:jc w:val="center"/>
            </w:pPr>
            <w:r>
              <w:rPr>
                <w:rFonts w:ascii="Calibri" w:hAnsi="Calibri"/>
                <w:b/>
                <w:color w:val="FFFFFF"/>
                <w:sz w:val="20"/>
              </w:rPr>
              <w:t>Train Accuracy</w:t>
            </w:r>
          </w:p>
        </w:tc>
        <w:tc>
          <w:tcPr>
            <w:tcW w:type="dxa" w:w="2016"/>
            <w:shd w:val="clear" w:color="auto" w:fill="3B2A20"/>
          </w:tcPr>
          <w:p>
            <w:pPr>
              <w:spacing w:before="60" w:after="60"/>
              <w:jc w:val="center"/>
            </w:pPr>
            <w:r>
              <w:rPr>
                <w:rFonts w:ascii="Calibri" w:hAnsi="Calibri"/>
                <w:b/>
                <w:color w:val="FFFFFF"/>
                <w:sz w:val="20"/>
              </w:rPr>
              <w:t>Val Loss</w:t>
            </w:r>
          </w:p>
        </w:tc>
        <w:tc>
          <w:tcPr>
            <w:tcW w:type="dxa" w:w="2016"/>
            <w:shd w:val="clear" w:color="auto" w:fill="3B2A20"/>
          </w:tcPr>
          <w:p>
            <w:pPr>
              <w:spacing w:before="60" w:after="60"/>
              <w:jc w:val="center"/>
            </w:pPr>
            <w:r>
              <w:rPr>
                <w:rFonts w:ascii="Calibri" w:hAnsi="Calibri"/>
                <w:b/>
                <w:color w:val="FFFFFF"/>
                <w:sz w:val="20"/>
              </w:rPr>
              <w:t>Val Accuracy</w:t>
            </w:r>
          </w:p>
        </w:tc>
      </w:tr>
      <w:tr>
        <w:tc>
          <w:tcPr>
            <w:tcW w:type="dxa" w:w="2016"/>
          </w:tcPr>
          <w:p>
            <w:pPr>
              <w:spacing w:before="50" w:after="50"/>
              <w:jc w:val="left"/>
            </w:pPr>
            <w:r>
              <w:rPr>
                <w:rFonts w:ascii="Calibri" w:hAnsi="Calibri"/>
                <w:color w:val="2B2B2B"/>
                <w:sz w:val="19"/>
              </w:rPr>
              <w:t>1</w:t>
            </w:r>
          </w:p>
        </w:tc>
        <w:tc>
          <w:tcPr>
            <w:tcW w:type="dxa" w:w="2016"/>
          </w:tcPr>
          <w:p>
            <w:pPr>
              <w:spacing w:before="50" w:after="50"/>
              <w:jc w:val="center"/>
            </w:pPr>
            <w:r>
              <w:rPr>
                <w:rFonts w:ascii="Calibri" w:hAnsi="Calibri"/>
                <w:color w:val="2B2B2B"/>
                <w:sz w:val="19"/>
              </w:rPr>
              <w:t>1.4022</w:t>
            </w:r>
          </w:p>
        </w:tc>
        <w:tc>
          <w:tcPr>
            <w:tcW w:type="dxa" w:w="2016"/>
          </w:tcPr>
          <w:p>
            <w:pPr>
              <w:spacing w:before="50" w:after="50"/>
              <w:jc w:val="center"/>
            </w:pPr>
            <w:r>
              <w:rPr>
                <w:rFonts w:ascii="Calibri" w:hAnsi="Calibri"/>
                <w:color w:val="2B2B2B"/>
                <w:sz w:val="19"/>
              </w:rPr>
              <w:t>48.28%</w:t>
            </w:r>
          </w:p>
        </w:tc>
        <w:tc>
          <w:tcPr>
            <w:tcW w:type="dxa" w:w="2016"/>
          </w:tcPr>
          <w:p>
            <w:pPr>
              <w:spacing w:before="50" w:after="50"/>
              <w:jc w:val="center"/>
            </w:pPr>
            <w:r>
              <w:rPr>
                <w:rFonts w:ascii="Calibri" w:hAnsi="Calibri"/>
                <w:color w:val="2B2B2B"/>
                <w:sz w:val="19"/>
              </w:rPr>
              <w:t>1.3926</w:t>
            </w:r>
          </w:p>
        </w:tc>
        <w:tc>
          <w:tcPr>
            <w:tcW w:type="dxa" w:w="2016"/>
          </w:tcPr>
          <w:p>
            <w:pPr>
              <w:spacing w:before="50" w:after="50"/>
              <w:jc w:val="center"/>
            </w:pPr>
            <w:r>
              <w:rPr>
                <w:rFonts w:ascii="Calibri" w:hAnsi="Calibri"/>
                <w:color w:val="2B2B2B"/>
                <w:sz w:val="19"/>
              </w:rPr>
              <w:t>49.34%</w:t>
            </w:r>
          </w:p>
        </w:tc>
      </w:tr>
      <w:tr>
        <w:tc>
          <w:tcPr>
            <w:tcW w:type="dxa" w:w="2016"/>
            <w:shd w:val="clear" w:color="auto" w:fill="F2EFEA"/>
          </w:tcPr>
          <w:p>
            <w:pPr>
              <w:spacing w:before="50" w:after="50"/>
              <w:jc w:val="left"/>
            </w:pPr>
            <w:r>
              <w:rPr>
                <w:rFonts w:ascii="Calibri" w:hAnsi="Calibri"/>
                <w:color w:val="2B2B2B"/>
                <w:sz w:val="19"/>
              </w:rPr>
              <w:t>2</w:t>
            </w:r>
          </w:p>
        </w:tc>
        <w:tc>
          <w:tcPr>
            <w:tcW w:type="dxa" w:w="2016"/>
            <w:shd w:val="clear" w:color="auto" w:fill="F2EFEA"/>
          </w:tcPr>
          <w:p>
            <w:pPr>
              <w:spacing w:before="50" w:after="50"/>
              <w:jc w:val="center"/>
            </w:pPr>
            <w:r>
              <w:rPr>
                <w:rFonts w:ascii="Calibri" w:hAnsi="Calibri"/>
                <w:color w:val="2B2B2B"/>
                <w:sz w:val="19"/>
              </w:rPr>
              <w:t>1.0496</w:t>
            </w:r>
          </w:p>
        </w:tc>
        <w:tc>
          <w:tcPr>
            <w:tcW w:type="dxa" w:w="2016"/>
            <w:shd w:val="clear" w:color="auto" w:fill="F2EFEA"/>
          </w:tcPr>
          <w:p>
            <w:pPr>
              <w:spacing w:before="50" w:after="50"/>
              <w:jc w:val="center"/>
            </w:pPr>
            <w:r>
              <w:rPr>
                <w:rFonts w:ascii="Calibri" w:hAnsi="Calibri"/>
                <w:color w:val="2B2B2B"/>
                <w:sz w:val="19"/>
              </w:rPr>
              <w:t>62.60%</w:t>
            </w:r>
          </w:p>
        </w:tc>
        <w:tc>
          <w:tcPr>
            <w:tcW w:type="dxa" w:w="2016"/>
            <w:shd w:val="clear" w:color="auto" w:fill="F2EFEA"/>
          </w:tcPr>
          <w:p>
            <w:pPr>
              <w:spacing w:before="50" w:after="50"/>
              <w:jc w:val="center"/>
            </w:pPr>
            <w:r>
              <w:rPr>
                <w:rFonts w:ascii="Calibri" w:hAnsi="Calibri"/>
                <w:color w:val="2B2B2B"/>
                <w:sz w:val="19"/>
              </w:rPr>
              <w:t>1.0666</w:t>
            </w:r>
          </w:p>
        </w:tc>
        <w:tc>
          <w:tcPr>
            <w:tcW w:type="dxa" w:w="2016"/>
            <w:shd w:val="clear" w:color="auto" w:fill="F2EFEA"/>
          </w:tcPr>
          <w:p>
            <w:pPr>
              <w:spacing w:before="50" w:after="50"/>
              <w:jc w:val="center"/>
            </w:pPr>
            <w:r>
              <w:rPr>
                <w:rFonts w:ascii="Calibri" w:hAnsi="Calibri"/>
                <w:color w:val="2B2B2B"/>
                <w:sz w:val="19"/>
              </w:rPr>
              <w:t>62.74%</w:t>
            </w:r>
          </w:p>
        </w:tc>
      </w:tr>
      <w:tr>
        <w:tc>
          <w:tcPr>
            <w:tcW w:type="dxa" w:w="2016"/>
          </w:tcPr>
          <w:p>
            <w:pPr>
              <w:spacing w:before="50" w:after="50"/>
              <w:jc w:val="left"/>
            </w:pPr>
            <w:r>
              <w:rPr>
                <w:rFonts w:ascii="Calibri" w:hAnsi="Calibri"/>
                <w:color w:val="2B2B2B"/>
                <w:sz w:val="19"/>
              </w:rPr>
              <w:t>3</w:t>
            </w:r>
          </w:p>
        </w:tc>
        <w:tc>
          <w:tcPr>
            <w:tcW w:type="dxa" w:w="2016"/>
          </w:tcPr>
          <w:p>
            <w:pPr>
              <w:spacing w:before="50" w:after="50"/>
              <w:jc w:val="center"/>
            </w:pPr>
            <w:r>
              <w:rPr>
                <w:rFonts w:ascii="Calibri" w:hAnsi="Calibri"/>
                <w:color w:val="2B2B2B"/>
                <w:sz w:val="19"/>
              </w:rPr>
              <w:t>0.8921</w:t>
            </w:r>
          </w:p>
        </w:tc>
        <w:tc>
          <w:tcPr>
            <w:tcW w:type="dxa" w:w="2016"/>
          </w:tcPr>
          <w:p>
            <w:pPr>
              <w:spacing w:before="50" w:after="50"/>
              <w:jc w:val="center"/>
            </w:pPr>
            <w:r>
              <w:rPr>
                <w:rFonts w:ascii="Calibri" w:hAnsi="Calibri"/>
                <w:color w:val="2B2B2B"/>
                <w:sz w:val="19"/>
              </w:rPr>
              <w:t>68.60%</w:t>
            </w:r>
          </w:p>
        </w:tc>
        <w:tc>
          <w:tcPr>
            <w:tcW w:type="dxa" w:w="2016"/>
          </w:tcPr>
          <w:p>
            <w:pPr>
              <w:spacing w:before="50" w:after="50"/>
              <w:jc w:val="center"/>
            </w:pPr>
            <w:r>
              <w:rPr>
                <w:rFonts w:ascii="Calibri" w:hAnsi="Calibri"/>
                <w:color w:val="2B2B2B"/>
                <w:sz w:val="19"/>
              </w:rPr>
              <w:t>0.9171</w:t>
            </w:r>
          </w:p>
        </w:tc>
        <w:tc>
          <w:tcPr>
            <w:tcW w:type="dxa" w:w="2016"/>
          </w:tcPr>
          <w:p>
            <w:pPr>
              <w:spacing w:before="50" w:after="50"/>
              <w:jc w:val="center"/>
            </w:pPr>
            <w:r>
              <w:rPr>
                <w:rFonts w:ascii="Calibri" w:hAnsi="Calibri"/>
                <w:color w:val="2B2B2B"/>
                <w:sz w:val="19"/>
              </w:rPr>
              <w:t>67.86%</w:t>
            </w:r>
          </w:p>
        </w:tc>
      </w:tr>
      <w:tr>
        <w:tc>
          <w:tcPr>
            <w:tcW w:type="dxa" w:w="2016"/>
            <w:shd w:val="clear" w:color="auto" w:fill="F2EFEA"/>
          </w:tcPr>
          <w:p>
            <w:pPr>
              <w:spacing w:before="50" w:after="50"/>
              <w:jc w:val="left"/>
            </w:pPr>
            <w:r>
              <w:rPr>
                <w:rFonts w:ascii="Calibri" w:hAnsi="Calibri"/>
                <w:color w:val="2B2B2B"/>
                <w:sz w:val="19"/>
              </w:rPr>
              <w:t>4</w:t>
            </w:r>
          </w:p>
        </w:tc>
        <w:tc>
          <w:tcPr>
            <w:tcW w:type="dxa" w:w="2016"/>
            <w:shd w:val="clear" w:color="auto" w:fill="F2EFEA"/>
          </w:tcPr>
          <w:p>
            <w:pPr>
              <w:spacing w:before="50" w:after="50"/>
              <w:jc w:val="center"/>
            </w:pPr>
            <w:r>
              <w:rPr>
                <w:rFonts w:ascii="Calibri" w:hAnsi="Calibri"/>
                <w:color w:val="2B2B2B"/>
                <w:sz w:val="19"/>
              </w:rPr>
              <w:t>0.7932</w:t>
            </w:r>
          </w:p>
        </w:tc>
        <w:tc>
          <w:tcPr>
            <w:tcW w:type="dxa" w:w="2016"/>
            <w:shd w:val="clear" w:color="auto" w:fill="F2EFEA"/>
          </w:tcPr>
          <w:p>
            <w:pPr>
              <w:spacing w:before="50" w:after="50"/>
              <w:jc w:val="center"/>
            </w:pPr>
            <w:r>
              <w:rPr>
                <w:rFonts w:ascii="Calibri" w:hAnsi="Calibri"/>
                <w:color w:val="2B2B2B"/>
                <w:sz w:val="19"/>
              </w:rPr>
              <w:t>72.12%</w:t>
            </w:r>
          </w:p>
        </w:tc>
        <w:tc>
          <w:tcPr>
            <w:tcW w:type="dxa" w:w="2016"/>
            <w:shd w:val="clear" w:color="auto" w:fill="F2EFEA"/>
          </w:tcPr>
          <w:p>
            <w:pPr>
              <w:spacing w:before="50" w:after="50"/>
              <w:jc w:val="center"/>
            </w:pPr>
            <w:r>
              <w:rPr>
                <w:rFonts w:ascii="Calibri" w:hAnsi="Calibri"/>
                <w:color w:val="2B2B2B"/>
                <w:sz w:val="19"/>
              </w:rPr>
              <w:t>0.8337</w:t>
            </w:r>
          </w:p>
        </w:tc>
        <w:tc>
          <w:tcPr>
            <w:tcW w:type="dxa" w:w="2016"/>
            <w:shd w:val="clear" w:color="auto" w:fill="F2EFEA"/>
          </w:tcPr>
          <w:p>
            <w:pPr>
              <w:spacing w:before="50" w:after="50"/>
              <w:jc w:val="center"/>
            </w:pPr>
            <w:r>
              <w:rPr>
                <w:rFonts w:ascii="Calibri" w:hAnsi="Calibri"/>
                <w:color w:val="2B2B2B"/>
                <w:sz w:val="19"/>
              </w:rPr>
              <w:t>70.00%</w:t>
            </w:r>
          </w:p>
        </w:tc>
      </w:tr>
      <w:tr>
        <w:tc>
          <w:tcPr>
            <w:tcW w:type="dxa" w:w="2016"/>
          </w:tcPr>
          <w:p>
            <w:pPr>
              <w:spacing w:before="50" w:after="50"/>
              <w:jc w:val="left"/>
            </w:pPr>
            <w:r>
              <w:rPr>
                <w:rFonts w:ascii="Calibri" w:hAnsi="Calibri"/>
                <w:color w:val="2B2B2B"/>
                <w:sz w:val="19"/>
              </w:rPr>
              <w:t>5</w:t>
            </w:r>
          </w:p>
        </w:tc>
        <w:tc>
          <w:tcPr>
            <w:tcW w:type="dxa" w:w="2016"/>
          </w:tcPr>
          <w:p>
            <w:pPr>
              <w:spacing w:before="50" w:after="50"/>
              <w:jc w:val="center"/>
            </w:pPr>
            <w:r>
              <w:rPr>
                <w:rFonts w:ascii="Calibri" w:hAnsi="Calibri"/>
                <w:color w:val="2B2B2B"/>
                <w:sz w:val="19"/>
              </w:rPr>
              <w:t>0.7131</w:t>
            </w:r>
          </w:p>
        </w:tc>
        <w:tc>
          <w:tcPr>
            <w:tcW w:type="dxa" w:w="2016"/>
          </w:tcPr>
          <w:p>
            <w:pPr>
              <w:spacing w:before="50" w:after="50"/>
              <w:jc w:val="center"/>
            </w:pPr>
            <w:r>
              <w:rPr>
                <w:rFonts w:ascii="Calibri" w:hAnsi="Calibri"/>
                <w:color w:val="2B2B2B"/>
                <w:sz w:val="19"/>
              </w:rPr>
              <w:t>75.11%</w:t>
            </w:r>
          </w:p>
        </w:tc>
        <w:tc>
          <w:tcPr>
            <w:tcW w:type="dxa" w:w="2016"/>
          </w:tcPr>
          <w:p>
            <w:pPr>
              <w:spacing w:before="50" w:after="50"/>
              <w:jc w:val="center"/>
            </w:pPr>
            <w:r>
              <w:rPr>
                <w:rFonts w:ascii="Calibri" w:hAnsi="Calibri"/>
                <w:color w:val="2B2B2B"/>
                <w:sz w:val="19"/>
              </w:rPr>
              <w:t>0.8654</w:t>
            </w:r>
          </w:p>
        </w:tc>
        <w:tc>
          <w:tcPr>
            <w:tcW w:type="dxa" w:w="2016"/>
          </w:tcPr>
          <w:p>
            <w:pPr>
              <w:spacing w:before="50" w:after="50"/>
              <w:jc w:val="center"/>
            </w:pPr>
            <w:r>
              <w:rPr>
                <w:rFonts w:ascii="Calibri" w:hAnsi="Calibri"/>
                <w:color w:val="2B2B2B"/>
                <w:sz w:val="19"/>
              </w:rPr>
              <w:t>70.18%</w:t>
            </w:r>
          </w:p>
        </w:tc>
      </w:tr>
    </w:tbl>
    <w:p>
      <w:pPr>
        <w:spacing w:before="0" w:after="80"/>
      </w:pPr>
    </w:p>
    <w:p>
      <w:pPr>
        <w:spacing w:before="0" w:after="80" w:line="276" w:lineRule="auto"/>
      </w:pPr>
      <w:r>
        <w:rPr>
          <w:rFonts w:ascii="Calibri" w:hAnsi="Calibri"/>
          <w:color w:val="2B2B2B"/>
          <w:sz w:val="22"/>
        </w:rPr>
        <w:t>CNN training demonstrated consistent loss reduction, progressing from 48.28% training accuracy at Epoch 1 to 75.11% at Epoch 5, stabilizing at 70.18% validation accuracy.</w:t>
      </w:r>
    </w:p>
    <w:p>
      <w:pPr>
        <w:spacing w:before="120" w:after="40"/>
        <w:jc w:val="center"/>
      </w:pPr>
      <w:r>
        <w:drawing>
          <wp:inline xmlns:a="http://schemas.openxmlformats.org/drawingml/2006/main" xmlns:pic="http://schemas.openxmlformats.org/drawingml/2006/picture">
            <wp:extent cx="5303520" cy="2185639"/>
            <wp:docPr id="2" name="Picture 2"/>
            <wp:cNvGraphicFramePr>
              <a:graphicFrameLocks noChangeAspect="1"/>
            </wp:cNvGraphicFramePr>
            <a:graphic>
              <a:graphicData uri="http://schemas.openxmlformats.org/drawingml/2006/picture">
                <pic:pic>
                  <pic:nvPicPr>
                    <pic:cNvPr id="0" name="cell_9_out_0.png"/>
                    <pic:cNvPicPr/>
                  </pic:nvPicPr>
                  <pic:blipFill>
                    <a:blip r:embed="rId11"/>
                    <a:stretch>
                      <a:fillRect/>
                    </a:stretch>
                  </pic:blipFill>
                  <pic:spPr>
                    <a:xfrm>
                      <a:off x="0" y="0"/>
                      <a:ext cx="5303520" cy="2185639"/>
                    </a:xfrm>
                    <a:prstGeom prst="rect"/>
                  </pic:spPr>
                </pic:pic>
              </a:graphicData>
            </a:graphic>
          </wp:inline>
        </w:drawing>
      </w:r>
    </w:p>
    <w:p>
      <w:pPr>
        <w:spacing w:before="40" w:after="160"/>
        <w:jc w:val="center"/>
      </w:pPr>
      <w:r>
        <w:rPr>
          <w:rFonts w:ascii="Calibri" w:hAnsi="Calibri"/>
          <w:i/>
          <w:color w:val="6E6E6E"/>
          <w:sz w:val="20"/>
        </w:rPr>
        <w:t>Figure 2: CNN training history displaying loss (left) and accuracy (right) across epochs.</w:t>
      </w:r>
    </w:p>
    <w:p>
      <w:pPr>
        <w:keepNext/>
        <w:spacing w:before="200" w:after="60"/>
      </w:pPr>
      <w:r>
        <w:rPr>
          <w:rFonts w:ascii="Calibri" w:hAnsi="Calibri"/>
          <w:b/>
          <w:color w:val="3B2A20"/>
          <w:sz w:val="26"/>
        </w:rPr>
        <w:t>5.2 Vision Transformer Fine-Tuning</w:t>
      </w:r>
    </w:p>
    <w:p>
      <w:pPr>
        <w:spacing w:before="0" w:after="80" w:line="276" w:lineRule="auto"/>
      </w:pPr>
      <w:r>
        <w:rPr>
          <w:rFonts w:ascii="Calibri" w:hAnsi="Calibri"/>
          <w:color w:val="2B2B2B"/>
          <w:sz w:val="22"/>
        </w:rPr>
        <w:t>The pretrained ViT was fine-tuned for 2 epochs using Hugging Face Trainer with AdamW (learning rate 5e-5, weight decay 0.01), batch size 32, and FP16 mixed precision. Training completed in 18.61 minutes (1,116.6 seconds). Because ViT processes 224x224 images through 12 self-attention layers with quadratic token complexity, per-epoch compute requirements are substantially higher than for the lightweight CNN.</w:t>
      </w:r>
    </w:p>
    <w:p>
      <w:pPr>
        <w:keepNext/>
        <w:spacing w:before="280" w:after="80"/>
      </w:pPr>
      <w:r>
        <w:rPr>
          <w:rFonts w:ascii="Calibri" w:hAnsi="Calibri"/>
          <w:b/>
          <w:color w:val="3B2A20"/>
          <w:sz w:val="32"/>
        </w:rPr>
        <w:t>6. Comparative Evaluation on Test Set</w:t>
      </w:r>
    </w:p>
    <w:p>
      <w:pPr>
        <w:spacing w:before="0" w:after="80" w:line="276" w:lineRule="auto"/>
      </w:pPr>
      <w:r>
        <w:rPr>
          <w:rFonts w:ascii="Calibri" w:hAnsi="Calibri"/>
          <w:color w:val="2B2B2B"/>
          <w:sz w:val="22"/>
        </w:rPr>
        <w:t>Both models were evaluated on the complete 10,000-image held-out CIFAR-10 test set. The comprehensive empirical comparison is presented below:</w:t>
      </w:r>
    </w:p>
    <w:tbl>
      <w:tblPr>
        <w:tblW w:type="auto" w:w="0"/>
        <w:jc w:val="cente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680"/>
        <w:gridCol w:w="1680"/>
        <w:gridCol w:w="1680"/>
        <w:gridCol w:w="1680"/>
        <w:gridCol w:w="1680"/>
        <w:gridCol w:w="1680"/>
      </w:tblGrid>
      <w:tr>
        <w:tc>
          <w:tcPr>
            <w:tcW w:type="dxa" w:w="1680"/>
            <w:shd w:val="clear" w:color="auto" w:fill="3B2A20"/>
          </w:tcPr>
          <w:p>
            <w:pPr>
              <w:spacing w:before="60" w:after="60"/>
              <w:jc w:val="center"/>
            </w:pPr>
            <w:r>
              <w:rPr>
                <w:rFonts w:ascii="Calibri" w:hAnsi="Calibri"/>
                <w:b/>
                <w:color w:val="FFFFFF"/>
                <w:sz w:val="20"/>
              </w:rPr>
              <w:t>Model</w:t>
            </w:r>
          </w:p>
        </w:tc>
        <w:tc>
          <w:tcPr>
            <w:tcW w:type="dxa" w:w="1680"/>
            <w:shd w:val="clear" w:color="auto" w:fill="3B2A20"/>
          </w:tcPr>
          <w:p>
            <w:pPr>
              <w:spacing w:before="60" w:after="60"/>
              <w:jc w:val="center"/>
            </w:pPr>
            <w:r>
              <w:rPr>
                <w:rFonts w:ascii="Calibri" w:hAnsi="Calibri"/>
                <w:b/>
                <w:color w:val="FFFFFF"/>
                <w:sz w:val="20"/>
              </w:rPr>
              <w:t>Accuracy</w:t>
            </w:r>
          </w:p>
        </w:tc>
        <w:tc>
          <w:tcPr>
            <w:tcW w:type="dxa" w:w="1680"/>
            <w:shd w:val="clear" w:color="auto" w:fill="3B2A20"/>
          </w:tcPr>
          <w:p>
            <w:pPr>
              <w:spacing w:before="60" w:after="60"/>
              <w:jc w:val="center"/>
            </w:pPr>
            <w:r>
              <w:rPr>
                <w:rFonts w:ascii="Calibri" w:hAnsi="Calibri"/>
                <w:b/>
                <w:color w:val="FFFFFF"/>
                <w:sz w:val="20"/>
              </w:rPr>
              <w:t>Precision</w:t>
            </w:r>
          </w:p>
        </w:tc>
        <w:tc>
          <w:tcPr>
            <w:tcW w:type="dxa" w:w="1680"/>
            <w:shd w:val="clear" w:color="auto" w:fill="3B2A20"/>
          </w:tcPr>
          <w:p>
            <w:pPr>
              <w:spacing w:before="60" w:after="60"/>
              <w:jc w:val="center"/>
            </w:pPr>
            <w:r>
              <w:rPr>
                <w:rFonts w:ascii="Calibri" w:hAnsi="Calibri"/>
                <w:b/>
                <w:color w:val="FFFFFF"/>
                <w:sz w:val="20"/>
              </w:rPr>
              <w:t>Recall</w:t>
            </w:r>
          </w:p>
        </w:tc>
        <w:tc>
          <w:tcPr>
            <w:tcW w:type="dxa" w:w="1680"/>
            <w:shd w:val="clear" w:color="auto" w:fill="3B2A20"/>
          </w:tcPr>
          <w:p>
            <w:pPr>
              <w:spacing w:before="60" w:after="60"/>
              <w:jc w:val="center"/>
            </w:pPr>
            <w:r>
              <w:rPr>
                <w:rFonts w:ascii="Calibri" w:hAnsi="Calibri"/>
                <w:b/>
                <w:color w:val="FFFFFF"/>
                <w:sz w:val="20"/>
              </w:rPr>
              <w:t>F1-Score</w:t>
            </w:r>
          </w:p>
        </w:tc>
        <w:tc>
          <w:tcPr>
            <w:tcW w:type="dxa" w:w="1680"/>
            <w:shd w:val="clear" w:color="auto" w:fill="3B2A20"/>
          </w:tcPr>
          <w:p>
            <w:pPr>
              <w:spacing w:before="60" w:after="60"/>
              <w:jc w:val="center"/>
            </w:pPr>
            <w:r>
              <w:rPr>
                <w:rFonts w:ascii="Calibri" w:hAnsi="Calibri"/>
                <w:b/>
                <w:color w:val="FFFFFF"/>
                <w:sz w:val="20"/>
              </w:rPr>
              <w:t>Training Time (min)</w:t>
            </w:r>
          </w:p>
        </w:tc>
      </w:tr>
      <w:tr>
        <w:tc>
          <w:tcPr>
            <w:tcW w:type="dxa" w:w="1680"/>
          </w:tcPr>
          <w:p>
            <w:pPr>
              <w:spacing w:before="50" w:after="50"/>
              <w:jc w:val="left"/>
            </w:pPr>
            <w:r>
              <w:rPr>
                <w:rFonts w:ascii="Calibri" w:hAnsi="Calibri"/>
                <w:color w:val="2B2B2B"/>
                <w:sz w:val="19"/>
              </w:rPr>
              <w:t>CNN (from scratch)</w:t>
            </w:r>
          </w:p>
        </w:tc>
        <w:tc>
          <w:tcPr>
            <w:tcW w:type="dxa" w:w="1680"/>
          </w:tcPr>
          <w:p>
            <w:pPr>
              <w:spacing w:before="50" w:after="50"/>
              <w:jc w:val="center"/>
            </w:pPr>
            <w:r>
              <w:rPr>
                <w:rFonts w:ascii="Calibri" w:hAnsi="Calibri"/>
                <w:color w:val="2B2B2B"/>
                <w:sz w:val="19"/>
              </w:rPr>
              <w:t>0.7025</w:t>
            </w:r>
          </w:p>
        </w:tc>
        <w:tc>
          <w:tcPr>
            <w:tcW w:type="dxa" w:w="1680"/>
          </w:tcPr>
          <w:p>
            <w:pPr>
              <w:spacing w:before="50" w:after="50"/>
              <w:jc w:val="center"/>
            </w:pPr>
            <w:r>
              <w:rPr>
                <w:rFonts w:ascii="Calibri" w:hAnsi="Calibri"/>
                <w:color w:val="2B2B2B"/>
                <w:sz w:val="19"/>
              </w:rPr>
              <w:t>0.7354</w:t>
            </w:r>
          </w:p>
        </w:tc>
        <w:tc>
          <w:tcPr>
            <w:tcW w:type="dxa" w:w="1680"/>
          </w:tcPr>
          <w:p>
            <w:pPr>
              <w:spacing w:before="50" w:after="50"/>
              <w:jc w:val="center"/>
            </w:pPr>
            <w:r>
              <w:rPr>
                <w:rFonts w:ascii="Calibri" w:hAnsi="Calibri"/>
                <w:color w:val="2B2B2B"/>
                <w:sz w:val="19"/>
              </w:rPr>
              <w:t>0.7025</w:t>
            </w:r>
          </w:p>
        </w:tc>
        <w:tc>
          <w:tcPr>
            <w:tcW w:type="dxa" w:w="1680"/>
          </w:tcPr>
          <w:p>
            <w:pPr>
              <w:spacing w:before="50" w:after="50"/>
              <w:jc w:val="center"/>
            </w:pPr>
            <w:r>
              <w:rPr>
                <w:rFonts w:ascii="Calibri" w:hAnsi="Calibri"/>
                <w:color w:val="2B2B2B"/>
                <w:sz w:val="19"/>
              </w:rPr>
              <w:t>0.7069</w:t>
            </w:r>
          </w:p>
        </w:tc>
        <w:tc>
          <w:tcPr>
            <w:tcW w:type="dxa" w:w="1680"/>
          </w:tcPr>
          <w:p>
            <w:pPr>
              <w:spacing w:before="50" w:after="50"/>
              <w:jc w:val="center"/>
            </w:pPr>
            <w:r>
              <w:rPr>
                <w:rFonts w:ascii="Calibri" w:hAnsi="Calibri"/>
                <w:color w:val="2B2B2B"/>
                <w:sz w:val="19"/>
              </w:rPr>
              <w:t>1.53 min</w:t>
            </w:r>
          </w:p>
        </w:tc>
      </w:tr>
      <w:tr>
        <w:tc>
          <w:tcPr>
            <w:tcW w:type="dxa" w:w="1680"/>
            <w:shd w:val="clear" w:color="auto" w:fill="F2EFEA"/>
          </w:tcPr>
          <w:p>
            <w:pPr>
              <w:spacing w:before="50" w:after="50"/>
              <w:jc w:val="left"/>
            </w:pPr>
            <w:r>
              <w:rPr>
                <w:rFonts w:ascii="Calibri" w:hAnsi="Calibri"/>
                <w:color w:val="2B2B2B"/>
                <w:sz w:val="19"/>
              </w:rPr>
              <w:t>Pretrained ViT</w:t>
            </w:r>
          </w:p>
        </w:tc>
        <w:tc>
          <w:tcPr>
            <w:tcW w:type="dxa" w:w="1680"/>
            <w:shd w:val="clear" w:color="auto" w:fill="F2EFEA"/>
          </w:tcPr>
          <w:p>
            <w:pPr>
              <w:spacing w:before="50" w:after="50"/>
              <w:jc w:val="center"/>
            </w:pPr>
            <w:r>
              <w:rPr>
                <w:rFonts w:ascii="Calibri" w:hAnsi="Calibri"/>
                <w:color w:val="2B2B2B"/>
                <w:sz w:val="19"/>
              </w:rPr>
              <w:t>0.9845</w:t>
            </w:r>
          </w:p>
        </w:tc>
        <w:tc>
          <w:tcPr>
            <w:tcW w:type="dxa" w:w="1680"/>
            <w:shd w:val="clear" w:color="auto" w:fill="F2EFEA"/>
          </w:tcPr>
          <w:p>
            <w:pPr>
              <w:spacing w:before="50" w:after="50"/>
              <w:jc w:val="center"/>
            </w:pPr>
            <w:r>
              <w:rPr>
                <w:rFonts w:ascii="Calibri" w:hAnsi="Calibri"/>
                <w:color w:val="2B2B2B"/>
                <w:sz w:val="19"/>
              </w:rPr>
              <w:t>0.9845</w:t>
            </w:r>
          </w:p>
        </w:tc>
        <w:tc>
          <w:tcPr>
            <w:tcW w:type="dxa" w:w="1680"/>
            <w:shd w:val="clear" w:color="auto" w:fill="F2EFEA"/>
          </w:tcPr>
          <w:p>
            <w:pPr>
              <w:spacing w:before="50" w:after="50"/>
              <w:jc w:val="center"/>
            </w:pPr>
            <w:r>
              <w:rPr>
                <w:rFonts w:ascii="Calibri" w:hAnsi="Calibri"/>
                <w:color w:val="2B2B2B"/>
                <w:sz w:val="19"/>
              </w:rPr>
              <w:t>0.9845</w:t>
            </w:r>
          </w:p>
        </w:tc>
        <w:tc>
          <w:tcPr>
            <w:tcW w:type="dxa" w:w="1680"/>
            <w:shd w:val="clear" w:color="auto" w:fill="F2EFEA"/>
          </w:tcPr>
          <w:p>
            <w:pPr>
              <w:spacing w:before="50" w:after="50"/>
              <w:jc w:val="center"/>
            </w:pPr>
            <w:r>
              <w:rPr>
                <w:rFonts w:ascii="Calibri" w:hAnsi="Calibri"/>
                <w:color w:val="2B2B2B"/>
                <w:sz w:val="19"/>
              </w:rPr>
              <w:t>0.9845</w:t>
            </w:r>
          </w:p>
        </w:tc>
        <w:tc>
          <w:tcPr>
            <w:tcW w:type="dxa" w:w="1680"/>
            <w:shd w:val="clear" w:color="auto" w:fill="F2EFEA"/>
          </w:tcPr>
          <w:p>
            <w:pPr>
              <w:spacing w:before="50" w:after="50"/>
              <w:jc w:val="center"/>
            </w:pPr>
            <w:r>
              <w:rPr>
                <w:rFonts w:ascii="Calibri" w:hAnsi="Calibri"/>
                <w:color w:val="2B2B2B"/>
                <w:sz w:val="19"/>
              </w:rPr>
              <w:t>18.61 min</w:t>
            </w:r>
          </w:p>
        </w:tc>
      </w:tr>
    </w:tbl>
    <w:p>
      <w:pPr>
        <w:spacing w:before="0" w:after="80"/>
      </w:pPr>
    </w:p>
    <w:p>
      <w:pPr>
        <w:spacing w:before="0" w:after="80" w:line="276" w:lineRule="auto"/>
      </w:pPr>
      <w:r>
        <w:rPr>
          <w:rFonts w:ascii="Calibri" w:hAnsi="Calibri"/>
          <w:color w:val="2B2B2B"/>
          <w:sz w:val="22"/>
        </w:rPr>
        <w:t>The Pretrained Vision Transformer delivered superior performance across all evaluation metrics, achieving 98.45% test accuracy compared to 70.25% for the CNN — representing a massive absolute improvement of +28.20 percentage points (+40.1% relative gain). However, this accuracy gain comes at the cost of a 12.2x increase in training time (18.61 min vs 1.53 min) and significantly higher memory footprint.</w:t>
      </w:r>
    </w:p>
    <w:p>
      <w:pPr>
        <w:spacing w:before="120" w:after="40"/>
        <w:jc w:val="center"/>
      </w:pPr>
      <w:r>
        <w:drawing>
          <wp:inline xmlns:a="http://schemas.openxmlformats.org/drawingml/2006/main" xmlns:pic="http://schemas.openxmlformats.org/drawingml/2006/picture">
            <wp:extent cx="4754880" cy="2967585"/>
            <wp:docPr id="3" name="Picture 3"/>
            <wp:cNvGraphicFramePr>
              <a:graphicFrameLocks noChangeAspect="1"/>
            </wp:cNvGraphicFramePr>
            <a:graphic>
              <a:graphicData uri="http://schemas.openxmlformats.org/drawingml/2006/picture">
                <pic:pic>
                  <pic:nvPicPr>
                    <pic:cNvPr id="0" name="cell_22_out_0.png"/>
                    <pic:cNvPicPr/>
                  </pic:nvPicPr>
                  <pic:blipFill>
                    <a:blip r:embed="rId12"/>
                    <a:stretch>
                      <a:fillRect/>
                    </a:stretch>
                  </pic:blipFill>
                  <pic:spPr>
                    <a:xfrm>
                      <a:off x="0" y="0"/>
                      <a:ext cx="4754880" cy="2967585"/>
                    </a:xfrm>
                    <a:prstGeom prst="rect"/>
                  </pic:spPr>
                </pic:pic>
              </a:graphicData>
            </a:graphic>
          </wp:inline>
        </w:drawing>
      </w:r>
    </w:p>
    <w:p>
      <w:pPr>
        <w:spacing w:before="40" w:after="160"/>
        <w:jc w:val="center"/>
      </w:pPr>
      <w:r>
        <w:rPr>
          <w:rFonts w:ascii="Calibri" w:hAnsi="Calibri"/>
          <w:i/>
          <w:color w:val="6E6E6E"/>
          <w:sz w:val="20"/>
        </w:rPr>
        <w:t>Figure 3: Metric-by-metric performance comparison between CNN and Vision Transformer.</w:t>
      </w:r>
    </w:p>
    <w:p>
      <w:pPr>
        <w:keepNext/>
        <w:spacing w:before="280" w:after="80"/>
      </w:pPr>
      <w:r>
        <w:rPr>
          <w:rFonts w:ascii="Calibri" w:hAnsi="Calibri"/>
          <w:b/>
          <w:color w:val="3B2A20"/>
          <w:sz w:val="32"/>
        </w:rPr>
        <w:t>7. Confusion Matrices</w:t>
      </w:r>
    </w:p>
    <w:p>
      <w:pPr>
        <w:spacing w:before="0" w:after="80" w:line="276" w:lineRule="auto"/>
      </w:pPr>
      <w:r>
        <w:rPr>
          <w:rFonts w:ascii="Calibri" w:hAnsi="Calibri"/>
          <w:color w:val="2B2B2B"/>
          <w:sz w:val="22"/>
        </w:rPr>
        <w:t>Confusion matrices for both models on the 10,000-image test set reveal distinctive classification behaviors and error distributions across the 10 classes:</w:t>
      </w:r>
    </w:p>
    <w:p>
      <w:pPr>
        <w:keepNext/>
        <w:spacing w:before="200" w:after="60"/>
      </w:pPr>
      <w:r>
        <w:rPr>
          <w:rFonts w:ascii="Calibri" w:hAnsi="Calibri"/>
          <w:b/>
          <w:color w:val="3B2A20"/>
          <w:sz w:val="26"/>
        </w:rPr>
        <w:t>7.1 CNN Confusion Analysis</w:t>
      </w:r>
    </w:p>
    <w:p>
      <w:pPr>
        <w:spacing w:before="0" w:after="80" w:line="276" w:lineRule="auto"/>
      </w:pPr>
      <w:r>
        <w:rPr>
          <w:rFonts w:ascii="Calibri" w:hAnsi="Calibri"/>
          <w:color w:val="2B2B2B"/>
          <w:sz w:val="22"/>
        </w:rPr>
        <w:t>The CNN matrix shows moderate diagonal concentration with noticeable off-diagonal misclassifications, particularly among semantically and visually analogous classes. Significant confusions occur between 'cat' and 'dog' (182 cats predicted as dogs), and 'bird' and 'frog' (145 birds predicted as frogs). Conversely, vehicle classes with distinctive metallic boundaries ('automobile', 'ship', 'truck') achieved higher recall.</w:t>
      </w:r>
    </w:p>
    <w:p>
      <w:pPr>
        <w:spacing w:before="120" w:after="40"/>
        <w:jc w:val="center"/>
      </w:pPr>
      <w:r>
        <w:drawing>
          <wp:inline xmlns:a="http://schemas.openxmlformats.org/drawingml/2006/main" xmlns:pic="http://schemas.openxmlformats.org/drawingml/2006/picture">
            <wp:extent cx="4572000" cy="4105689"/>
            <wp:docPr id="4" name="Picture 4"/>
            <wp:cNvGraphicFramePr>
              <a:graphicFrameLocks noChangeAspect="1"/>
            </wp:cNvGraphicFramePr>
            <a:graphic>
              <a:graphicData uri="http://schemas.openxmlformats.org/drawingml/2006/picture">
                <pic:pic>
                  <pic:nvPicPr>
                    <pic:cNvPr id="0" name="cell_11_out_0.png"/>
                    <pic:cNvPicPr/>
                  </pic:nvPicPr>
                  <pic:blipFill>
                    <a:blip r:embed="rId13"/>
                    <a:stretch>
                      <a:fillRect/>
                    </a:stretch>
                  </pic:blipFill>
                  <pic:spPr>
                    <a:xfrm>
                      <a:off x="0" y="0"/>
                      <a:ext cx="4572000" cy="4105689"/>
                    </a:xfrm>
                    <a:prstGeom prst="rect"/>
                  </pic:spPr>
                </pic:pic>
              </a:graphicData>
            </a:graphic>
          </wp:inline>
        </w:drawing>
      </w:r>
    </w:p>
    <w:p>
      <w:pPr>
        <w:spacing w:before="40" w:after="160"/>
        <w:jc w:val="center"/>
      </w:pPr>
      <w:r>
        <w:rPr>
          <w:rFonts w:ascii="Calibri" w:hAnsi="Calibri"/>
          <w:i/>
          <w:color w:val="6E6E6E"/>
          <w:sz w:val="20"/>
        </w:rPr>
        <w:t>Figure 4: Confusion matrix for CNN trained from scratch on CIFAR-10 test set.</w:t>
      </w:r>
    </w:p>
    <w:p>
      <w:pPr>
        <w:keepNext/>
        <w:spacing w:before="200" w:after="60"/>
      </w:pPr>
      <w:r>
        <w:rPr>
          <w:rFonts w:ascii="Calibri" w:hAnsi="Calibri"/>
          <w:b/>
          <w:color w:val="3B2A20"/>
          <w:sz w:val="26"/>
        </w:rPr>
        <w:t>7.2 Vision Transformer Confusion Analysis</w:t>
      </w:r>
    </w:p>
    <w:p>
      <w:pPr>
        <w:spacing w:before="0" w:after="80" w:line="276" w:lineRule="auto"/>
      </w:pPr>
      <w:r>
        <w:rPr>
          <w:rFonts w:ascii="Calibri" w:hAnsi="Calibri"/>
          <w:color w:val="2B2B2B"/>
          <w:sz w:val="22"/>
        </w:rPr>
        <w:t>The ViT confusion matrix exhibits near-perfect diagonal dominance with virtually negligible cross-class bleed. The lowest performing class ('cat') still achieved an extraordinary 964 correct classifications out of 1,000, while 'frog' achieved 997 correct classifications out of 1,000.</w:t>
      </w:r>
    </w:p>
    <w:p>
      <w:pPr>
        <w:spacing w:before="120" w:after="40"/>
        <w:jc w:val="center"/>
      </w:pPr>
      <w:r>
        <w:drawing>
          <wp:inline xmlns:a="http://schemas.openxmlformats.org/drawingml/2006/main" xmlns:pic="http://schemas.openxmlformats.org/drawingml/2006/picture">
            <wp:extent cx="4572000" cy="4105689"/>
            <wp:docPr id="5" name="Picture 5"/>
            <wp:cNvGraphicFramePr>
              <a:graphicFrameLocks noChangeAspect="1"/>
            </wp:cNvGraphicFramePr>
            <a:graphic>
              <a:graphicData uri="http://schemas.openxmlformats.org/drawingml/2006/picture">
                <pic:pic>
                  <pic:nvPicPr>
                    <pic:cNvPr id="0" name="cell_19_out_0.png"/>
                    <pic:cNvPicPr/>
                  </pic:nvPicPr>
                  <pic:blipFill>
                    <a:blip r:embed="rId14"/>
                    <a:stretch>
                      <a:fillRect/>
                    </a:stretch>
                  </pic:blipFill>
                  <pic:spPr>
                    <a:xfrm>
                      <a:off x="0" y="0"/>
                      <a:ext cx="4572000" cy="4105689"/>
                    </a:xfrm>
                    <a:prstGeom prst="rect"/>
                  </pic:spPr>
                </pic:pic>
              </a:graphicData>
            </a:graphic>
          </wp:inline>
        </w:drawing>
      </w:r>
    </w:p>
    <w:p>
      <w:pPr>
        <w:spacing w:before="40" w:after="160"/>
        <w:jc w:val="center"/>
      </w:pPr>
      <w:r>
        <w:rPr>
          <w:rFonts w:ascii="Calibri" w:hAnsi="Calibri"/>
          <w:i/>
          <w:color w:val="6E6E6E"/>
          <w:sz w:val="20"/>
        </w:rPr>
        <w:t>Figure 5: Confusion matrix for fine-tuned Vision Transformer on CIFAR-10 test set.</w:t>
      </w:r>
    </w:p>
    <w:p>
      <w:pPr>
        <w:keepNext/>
        <w:spacing w:before="280" w:after="80"/>
      </w:pPr>
      <w:r>
        <w:rPr>
          <w:rFonts w:ascii="Calibri" w:hAnsi="Calibri"/>
          <w:b/>
          <w:color w:val="3B2A20"/>
          <w:sz w:val="32"/>
        </w:rPr>
        <w:t>8. Classification Reports</w:t>
      </w:r>
    </w:p>
    <w:p>
      <w:pPr>
        <w:spacing w:before="0" w:after="80" w:line="276" w:lineRule="auto"/>
      </w:pPr>
      <w:r>
        <w:rPr>
          <w:rFonts w:ascii="Calibri" w:hAnsi="Calibri"/>
          <w:color w:val="2B2B2B"/>
          <w:sz w:val="22"/>
        </w:rPr>
        <w:t>The per-class performance breakdowns for both models on the 10,000 test images (1,000 samples per class) are presented below:</w:t>
      </w:r>
    </w:p>
    <w:p>
      <w:pPr>
        <w:keepNext/>
        <w:spacing w:before="200" w:after="60"/>
      </w:pPr>
      <w:r>
        <w:rPr>
          <w:rFonts w:ascii="Calibri" w:hAnsi="Calibri"/>
          <w:b/>
          <w:color w:val="3B2A20"/>
          <w:sz w:val="26"/>
        </w:rPr>
        <w:t>8.1 CNN Classification Report</w:t>
      </w:r>
    </w:p>
    <w:tbl>
      <w:tblPr>
        <w:tblW w:type="auto" w:w="0"/>
        <w:jc w:val="cente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016"/>
        <w:gridCol w:w="2016"/>
        <w:gridCol w:w="2016"/>
        <w:gridCol w:w="2016"/>
        <w:gridCol w:w="2016"/>
      </w:tblGrid>
      <w:tr>
        <w:tc>
          <w:tcPr>
            <w:tcW w:type="dxa" w:w="2016"/>
            <w:shd w:val="clear" w:color="auto" w:fill="3B2A20"/>
          </w:tcPr>
          <w:p>
            <w:pPr>
              <w:spacing w:before="60" w:after="60"/>
              <w:jc w:val="center"/>
            </w:pPr>
            <w:r>
              <w:rPr>
                <w:rFonts w:ascii="Calibri" w:hAnsi="Calibri"/>
                <w:b/>
                <w:color w:val="FFFFFF"/>
                <w:sz w:val="20"/>
              </w:rPr>
              <w:t>Class</w:t>
            </w:r>
          </w:p>
        </w:tc>
        <w:tc>
          <w:tcPr>
            <w:tcW w:type="dxa" w:w="2016"/>
            <w:shd w:val="clear" w:color="auto" w:fill="3B2A20"/>
          </w:tcPr>
          <w:p>
            <w:pPr>
              <w:spacing w:before="60" w:after="60"/>
              <w:jc w:val="center"/>
            </w:pPr>
            <w:r>
              <w:rPr>
                <w:rFonts w:ascii="Calibri" w:hAnsi="Calibri"/>
                <w:b/>
                <w:color w:val="FFFFFF"/>
                <w:sz w:val="20"/>
              </w:rPr>
              <w:t>Precision</w:t>
            </w:r>
          </w:p>
        </w:tc>
        <w:tc>
          <w:tcPr>
            <w:tcW w:type="dxa" w:w="2016"/>
            <w:shd w:val="clear" w:color="auto" w:fill="3B2A20"/>
          </w:tcPr>
          <w:p>
            <w:pPr>
              <w:spacing w:before="60" w:after="60"/>
              <w:jc w:val="center"/>
            </w:pPr>
            <w:r>
              <w:rPr>
                <w:rFonts w:ascii="Calibri" w:hAnsi="Calibri"/>
                <w:b/>
                <w:color w:val="FFFFFF"/>
                <w:sz w:val="20"/>
              </w:rPr>
              <w:t>Recall</w:t>
            </w:r>
          </w:p>
        </w:tc>
        <w:tc>
          <w:tcPr>
            <w:tcW w:type="dxa" w:w="2016"/>
            <w:shd w:val="clear" w:color="auto" w:fill="3B2A20"/>
          </w:tcPr>
          <w:p>
            <w:pPr>
              <w:spacing w:before="60" w:after="60"/>
              <w:jc w:val="center"/>
            </w:pPr>
            <w:r>
              <w:rPr>
                <w:rFonts w:ascii="Calibri" w:hAnsi="Calibri"/>
                <w:b/>
                <w:color w:val="FFFFFF"/>
                <w:sz w:val="20"/>
              </w:rPr>
              <w:t>F1-Score</w:t>
            </w:r>
          </w:p>
        </w:tc>
        <w:tc>
          <w:tcPr>
            <w:tcW w:type="dxa" w:w="2016"/>
            <w:shd w:val="clear" w:color="auto" w:fill="3B2A20"/>
          </w:tcPr>
          <w:p>
            <w:pPr>
              <w:spacing w:before="60" w:after="60"/>
              <w:jc w:val="center"/>
            </w:pPr>
            <w:r>
              <w:rPr>
                <w:rFonts w:ascii="Calibri" w:hAnsi="Calibri"/>
                <w:b/>
                <w:color w:val="FFFFFF"/>
                <w:sz w:val="20"/>
              </w:rPr>
              <w:t>Support</w:t>
            </w:r>
          </w:p>
        </w:tc>
      </w:tr>
      <w:tr>
        <w:tc>
          <w:tcPr>
            <w:tcW w:type="dxa" w:w="2016"/>
          </w:tcPr>
          <w:p>
            <w:pPr>
              <w:spacing w:before="50" w:after="50"/>
              <w:jc w:val="left"/>
            </w:pPr>
            <w:r>
              <w:rPr>
                <w:rFonts w:ascii="Calibri" w:hAnsi="Calibri"/>
                <w:color w:val="2B2B2B"/>
                <w:sz w:val="19"/>
              </w:rPr>
              <w:t>airplane</w:t>
            </w:r>
          </w:p>
        </w:tc>
        <w:tc>
          <w:tcPr>
            <w:tcW w:type="dxa" w:w="2016"/>
          </w:tcPr>
          <w:p>
            <w:pPr>
              <w:spacing w:before="50" w:after="50"/>
              <w:jc w:val="center"/>
            </w:pPr>
            <w:r>
              <w:rPr>
                <w:rFonts w:ascii="Calibri" w:hAnsi="Calibri"/>
                <w:color w:val="2B2B2B"/>
                <w:sz w:val="19"/>
              </w:rPr>
              <w:t>0.7521</w:t>
            </w:r>
          </w:p>
        </w:tc>
        <w:tc>
          <w:tcPr>
            <w:tcW w:type="dxa" w:w="2016"/>
          </w:tcPr>
          <w:p>
            <w:pPr>
              <w:spacing w:before="50" w:after="50"/>
              <w:jc w:val="center"/>
            </w:pPr>
            <w:r>
              <w:rPr>
                <w:rFonts w:ascii="Calibri" w:hAnsi="Calibri"/>
                <w:color w:val="2B2B2B"/>
                <w:sz w:val="19"/>
              </w:rPr>
              <w:t>0.7160</w:t>
            </w:r>
          </w:p>
        </w:tc>
        <w:tc>
          <w:tcPr>
            <w:tcW w:type="dxa" w:w="2016"/>
          </w:tcPr>
          <w:p>
            <w:pPr>
              <w:spacing w:before="50" w:after="50"/>
              <w:jc w:val="center"/>
            </w:pPr>
            <w:r>
              <w:rPr>
                <w:rFonts w:ascii="Calibri" w:hAnsi="Calibri"/>
                <w:color w:val="2B2B2B"/>
                <w:sz w:val="19"/>
              </w:rPr>
              <w:t>0.7336</w:t>
            </w:r>
          </w:p>
        </w:tc>
        <w:tc>
          <w:tcPr>
            <w:tcW w:type="dxa" w:w="2016"/>
          </w:tcPr>
          <w:p>
            <w:pPr>
              <w:spacing w:before="50" w:after="50"/>
              <w:jc w:val="center"/>
            </w:pPr>
            <w:r>
              <w:rPr>
                <w:rFonts w:ascii="Calibri" w:hAnsi="Calibri"/>
                <w:color w:val="2B2B2B"/>
                <w:sz w:val="19"/>
              </w:rPr>
              <w:t>1000</w:t>
            </w:r>
          </w:p>
        </w:tc>
      </w:tr>
      <w:tr>
        <w:tc>
          <w:tcPr>
            <w:tcW w:type="dxa" w:w="2016"/>
            <w:shd w:val="clear" w:color="auto" w:fill="F2EFEA"/>
          </w:tcPr>
          <w:p>
            <w:pPr>
              <w:spacing w:before="50" w:after="50"/>
              <w:jc w:val="left"/>
            </w:pPr>
            <w:r>
              <w:rPr>
                <w:rFonts w:ascii="Calibri" w:hAnsi="Calibri"/>
                <w:color w:val="2B2B2B"/>
                <w:sz w:val="19"/>
              </w:rPr>
              <w:t>automobile</w:t>
            </w:r>
          </w:p>
        </w:tc>
        <w:tc>
          <w:tcPr>
            <w:tcW w:type="dxa" w:w="2016"/>
            <w:shd w:val="clear" w:color="auto" w:fill="F2EFEA"/>
          </w:tcPr>
          <w:p>
            <w:pPr>
              <w:spacing w:before="50" w:after="50"/>
              <w:jc w:val="center"/>
            </w:pPr>
            <w:r>
              <w:rPr>
                <w:rFonts w:ascii="Calibri" w:hAnsi="Calibri"/>
                <w:color w:val="2B2B2B"/>
                <w:sz w:val="19"/>
              </w:rPr>
              <w:t>0.7518</w:t>
            </w:r>
          </w:p>
        </w:tc>
        <w:tc>
          <w:tcPr>
            <w:tcW w:type="dxa" w:w="2016"/>
            <w:shd w:val="clear" w:color="auto" w:fill="F2EFEA"/>
          </w:tcPr>
          <w:p>
            <w:pPr>
              <w:spacing w:before="50" w:after="50"/>
              <w:jc w:val="center"/>
            </w:pPr>
            <w:r>
              <w:rPr>
                <w:rFonts w:ascii="Calibri" w:hAnsi="Calibri"/>
                <w:color w:val="2B2B2B"/>
                <w:sz w:val="19"/>
              </w:rPr>
              <w:t>0.9270</w:t>
            </w:r>
          </w:p>
        </w:tc>
        <w:tc>
          <w:tcPr>
            <w:tcW w:type="dxa" w:w="2016"/>
            <w:shd w:val="clear" w:color="auto" w:fill="F2EFEA"/>
          </w:tcPr>
          <w:p>
            <w:pPr>
              <w:spacing w:before="50" w:after="50"/>
              <w:jc w:val="center"/>
            </w:pPr>
            <w:r>
              <w:rPr>
                <w:rFonts w:ascii="Calibri" w:hAnsi="Calibri"/>
                <w:color w:val="2B2B2B"/>
                <w:sz w:val="19"/>
              </w:rPr>
              <w:t>0.8303</w:t>
            </w:r>
          </w:p>
        </w:tc>
        <w:tc>
          <w:tcPr>
            <w:tcW w:type="dxa" w:w="2016"/>
            <w:shd w:val="clear" w:color="auto" w:fill="F2EFEA"/>
          </w:tcPr>
          <w:p>
            <w:pPr>
              <w:spacing w:before="50" w:after="50"/>
              <w:jc w:val="center"/>
            </w:pPr>
            <w:r>
              <w:rPr>
                <w:rFonts w:ascii="Calibri" w:hAnsi="Calibri"/>
                <w:color w:val="2B2B2B"/>
                <w:sz w:val="19"/>
              </w:rPr>
              <w:t>1000</w:t>
            </w:r>
          </w:p>
        </w:tc>
      </w:tr>
      <w:tr>
        <w:tc>
          <w:tcPr>
            <w:tcW w:type="dxa" w:w="2016"/>
          </w:tcPr>
          <w:p>
            <w:pPr>
              <w:spacing w:before="50" w:after="50"/>
              <w:jc w:val="left"/>
            </w:pPr>
            <w:r>
              <w:rPr>
                <w:rFonts w:ascii="Calibri" w:hAnsi="Calibri"/>
                <w:color w:val="2B2B2B"/>
                <w:sz w:val="19"/>
              </w:rPr>
              <w:t>bird</w:t>
            </w:r>
          </w:p>
        </w:tc>
        <w:tc>
          <w:tcPr>
            <w:tcW w:type="dxa" w:w="2016"/>
          </w:tcPr>
          <w:p>
            <w:pPr>
              <w:spacing w:before="50" w:after="50"/>
              <w:jc w:val="center"/>
            </w:pPr>
            <w:r>
              <w:rPr>
                <w:rFonts w:ascii="Calibri" w:hAnsi="Calibri"/>
                <w:color w:val="2B2B2B"/>
                <w:sz w:val="19"/>
              </w:rPr>
              <w:t>0.4396</w:t>
            </w:r>
          </w:p>
        </w:tc>
        <w:tc>
          <w:tcPr>
            <w:tcW w:type="dxa" w:w="2016"/>
          </w:tcPr>
          <w:p>
            <w:pPr>
              <w:spacing w:before="50" w:after="50"/>
              <w:jc w:val="center"/>
            </w:pPr>
            <w:r>
              <w:rPr>
                <w:rFonts w:ascii="Calibri" w:hAnsi="Calibri"/>
                <w:color w:val="2B2B2B"/>
                <w:sz w:val="19"/>
              </w:rPr>
              <w:t>0.7940</w:t>
            </w:r>
          </w:p>
        </w:tc>
        <w:tc>
          <w:tcPr>
            <w:tcW w:type="dxa" w:w="2016"/>
          </w:tcPr>
          <w:p>
            <w:pPr>
              <w:spacing w:before="50" w:after="50"/>
              <w:jc w:val="center"/>
            </w:pPr>
            <w:r>
              <w:rPr>
                <w:rFonts w:ascii="Calibri" w:hAnsi="Calibri"/>
                <w:color w:val="2B2B2B"/>
                <w:sz w:val="19"/>
              </w:rPr>
              <w:t>0.5659</w:t>
            </w:r>
          </w:p>
        </w:tc>
        <w:tc>
          <w:tcPr>
            <w:tcW w:type="dxa" w:w="2016"/>
          </w:tcPr>
          <w:p>
            <w:pPr>
              <w:spacing w:before="50" w:after="50"/>
              <w:jc w:val="center"/>
            </w:pPr>
            <w:r>
              <w:rPr>
                <w:rFonts w:ascii="Calibri" w:hAnsi="Calibri"/>
                <w:color w:val="2B2B2B"/>
                <w:sz w:val="19"/>
              </w:rPr>
              <w:t>1000</w:t>
            </w:r>
          </w:p>
        </w:tc>
      </w:tr>
      <w:tr>
        <w:tc>
          <w:tcPr>
            <w:tcW w:type="dxa" w:w="2016"/>
            <w:shd w:val="clear" w:color="auto" w:fill="F2EFEA"/>
          </w:tcPr>
          <w:p>
            <w:pPr>
              <w:spacing w:before="50" w:after="50"/>
              <w:jc w:val="left"/>
            </w:pPr>
            <w:r>
              <w:rPr>
                <w:rFonts w:ascii="Calibri" w:hAnsi="Calibri"/>
                <w:color w:val="2B2B2B"/>
                <w:sz w:val="19"/>
              </w:rPr>
              <w:t>cat</w:t>
            </w:r>
          </w:p>
        </w:tc>
        <w:tc>
          <w:tcPr>
            <w:tcW w:type="dxa" w:w="2016"/>
            <w:shd w:val="clear" w:color="auto" w:fill="F2EFEA"/>
          </w:tcPr>
          <w:p>
            <w:pPr>
              <w:spacing w:before="50" w:after="50"/>
              <w:jc w:val="center"/>
            </w:pPr>
            <w:r>
              <w:rPr>
                <w:rFonts w:ascii="Calibri" w:hAnsi="Calibri"/>
                <w:color w:val="2B2B2B"/>
                <w:sz w:val="19"/>
              </w:rPr>
              <w:t>0.5787</w:t>
            </w:r>
          </w:p>
        </w:tc>
        <w:tc>
          <w:tcPr>
            <w:tcW w:type="dxa" w:w="2016"/>
            <w:shd w:val="clear" w:color="auto" w:fill="F2EFEA"/>
          </w:tcPr>
          <w:p>
            <w:pPr>
              <w:spacing w:before="50" w:after="50"/>
              <w:jc w:val="center"/>
            </w:pPr>
            <w:r>
              <w:rPr>
                <w:rFonts w:ascii="Calibri" w:hAnsi="Calibri"/>
                <w:color w:val="2B2B2B"/>
                <w:sz w:val="19"/>
              </w:rPr>
              <w:t>0.4520</w:t>
            </w:r>
          </w:p>
        </w:tc>
        <w:tc>
          <w:tcPr>
            <w:tcW w:type="dxa" w:w="2016"/>
            <w:shd w:val="clear" w:color="auto" w:fill="F2EFEA"/>
          </w:tcPr>
          <w:p>
            <w:pPr>
              <w:spacing w:before="50" w:after="50"/>
              <w:jc w:val="center"/>
            </w:pPr>
            <w:r>
              <w:rPr>
                <w:rFonts w:ascii="Calibri" w:hAnsi="Calibri"/>
                <w:color w:val="2B2B2B"/>
                <w:sz w:val="19"/>
              </w:rPr>
              <w:t>0.5076</w:t>
            </w:r>
          </w:p>
        </w:tc>
        <w:tc>
          <w:tcPr>
            <w:tcW w:type="dxa" w:w="2016"/>
            <w:shd w:val="clear" w:color="auto" w:fill="F2EFEA"/>
          </w:tcPr>
          <w:p>
            <w:pPr>
              <w:spacing w:before="50" w:after="50"/>
              <w:jc w:val="center"/>
            </w:pPr>
            <w:r>
              <w:rPr>
                <w:rFonts w:ascii="Calibri" w:hAnsi="Calibri"/>
                <w:color w:val="2B2B2B"/>
                <w:sz w:val="19"/>
              </w:rPr>
              <w:t>1000</w:t>
            </w:r>
          </w:p>
        </w:tc>
      </w:tr>
      <w:tr>
        <w:tc>
          <w:tcPr>
            <w:tcW w:type="dxa" w:w="2016"/>
          </w:tcPr>
          <w:p>
            <w:pPr>
              <w:spacing w:before="50" w:after="50"/>
              <w:jc w:val="left"/>
            </w:pPr>
            <w:r>
              <w:rPr>
                <w:rFonts w:ascii="Calibri" w:hAnsi="Calibri"/>
                <w:color w:val="2B2B2B"/>
                <w:sz w:val="19"/>
              </w:rPr>
              <w:t>deer</w:t>
            </w:r>
          </w:p>
        </w:tc>
        <w:tc>
          <w:tcPr>
            <w:tcW w:type="dxa" w:w="2016"/>
          </w:tcPr>
          <w:p>
            <w:pPr>
              <w:spacing w:before="50" w:after="50"/>
              <w:jc w:val="center"/>
            </w:pPr>
            <w:r>
              <w:rPr>
                <w:rFonts w:ascii="Calibri" w:hAnsi="Calibri"/>
                <w:color w:val="2B2B2B"/>
                <w:sz w:val="19"/>
              </w:rPr>
              <w:t>0.7442</w:t>
            </w:r>
          </w:p>
        </w:tc>
        <w:tc>
          <w:tcPr>
            <w:tcW w:type="dxa" w:w="2016"/>
          </w:tcPr>
          <w:p>
            <w:pPr>
              <w:spacing w:before="50" w:after="50"/>
              <w:jc w:val="center"/>
            </w:pPr>
            <w:r>
              <w:rPr>
                <w:rFonts w:ascii="Calibri" w:hAnsi="Calibri"/>
                <w:color w:val="2B2B2B"/>
                <w:sz w:val="19"/>
              </w:rPr>
              <w:t>0.6140</w:t>
            </w:r>
          </w:p>
        </w:tc>
        <w:tc>
          <w:tcPr>
            <w:tcW w:type="dxa" w:w="2016"/>
          </w:tcPr>
          <w:p>
            <w:pPr>
              <w:spacing w:before="50" w:after="50"/>
              <w:jc w:val="center"/>
            </w:pPr>
            <w:r>
              <w:rPr>
                <w:rFonts w:ascii="Calibri" w:hAnsi="Calibri"/>
                <w:color w:val="2B2B2B"/>
                <w:sz w:val="19"/>
              </w:rPr>
              <w:t>0.6729</w:t>
            </w:r>
          </w:p>
        </w:tc>
        <w:tc>
          <w:tcPr>
            <w:tcW w:type="dxa" w:w="2016"/>
          </w:tcPr>
          <w:p>
            <w:pPr>
              <w:spacing w:before="50" w:after="50"/>
              <w:jc w:val="center"/>
            </w:pPr>
            <w:r>
              <w:rPr>
                <w:rFonts w:ascii="Calibri" w:hAnsi="Calibri"/>
                <w:color w:val="2B2B2B"/>
                <w:sz w:val="19"/>
              </w:rPr>
              <w:t>1000</w:t>
            </w:r>
          </w:p>
        </w:tc>
      </w:tr>
      <w:tr>
        <w:tc>
          <w:tcPr>
            <w:tcW w:type="dxa" w:w="2016"/>
            <w:shd w:val="clear" w:color="auto" w:fill="F2EFEA"/>
          </w:tcPr>
          <w:p>
            <w:pPr>
              <w:spacing w:before="50" w:after="50"/>
              <w:jc w:val="left"/>
            </w:pPr>
            <w:r>
              <w:rPr>
                <w:rFonts w:ascii="Calibri" w:hAnsi="Calibri"/>
                <w:color w:val="2B2B2B"/>
                <w:sz w:val="19"/>
              </w:rPr>
              <w:t>dog</w:t>
            </w:r>
          </w:p>
        </w:tc>
        <w:tc>
          <w:tcPr>
            <w:tcW w:type="dxa" w:w="2016"/>
            <w:shd w:val="clear" w:color="auto" w:fill="F2EFEA"/>
          </w:tcPr>
          <w:p>
            <w:pPr>
              <w:spacing w:before="50" w:after="50"/>
              <w:jc w:val="center"/>
            </w:pPr>
            <w:r>
              <w:rPr>
                <w:rFonts w:ascii="Calibri" w:hAnsi="Calibri"/>
                <w:color w:val="2B2B2B"/>
                <w:sz w:val="19"/>
              </w:rPr>
              <w:t>0.6308</w:t>
            </w:r>
          </w:p>
        </w:tc>
        <w:tc>
          <w:tcPr>
            <w:tcW w:type="dxa" w:w="2016"/>
            <w:shd w:val="clear" w:color="auto" w:fill="F2EFEA"/>
          </w:tcPr>
          <w:p>
            <w:pPr>
              <w:spacing w:before="50" w:after="50"/>
              <w:jc w:val="center"/>
            </w:pPr>
            <w:r>
              <w:rPr>
                <w:rFonts w:ascii="Calibri" w:hAnsi="Calibri"/>
                <w:color w:val="2B2B2B"/>
                <w:sz w:val="19"/>
              </w:rPr>
              <w:t>0.6850</w:t>
            </w:r>
          </w:p>
        </w:tc>
        <w:tc>
          <w:tcPr>
            <w:tcW w:type="dxa" w:w="2016"/>
            <w:shd w:val="clear" w:color="auto" w:fill="F2EFEA"/>
          </w:tcPr>
          <w:p>
            <w:pPr>
              <w:spacing w:before="50" w:after="50"/>
              <w:jc w:val="center"/>
            </w:pPr>
            <w:r>
              <w:rPr>
                <w:rFonts w:ascii="Calibri" w:hAnsi="Calibri"/>
                <w:color w:val="2B2B2B"/>
                <w:sz w:val="19"/>
              </w:rPr>
              <w:t>0.6568</w:t>
            </w:r>
          </w:p>
        </w:tc>
        <w:tc>
          <w:tcPr>
            <w:tcW w:type="dxa" w:w="2016"/>
            <w:shd w:val="clear" w:color="auto" w:fill="F2EFEA"/>
          </w:tcPr>
          <w:p>
            <w:pPr>
              <w:spacing w:before="50" w:after="50"/>
              <w:jc w:val="center"/>
            </w:pPr>
            <w:r>
              <w:rPr>
                <w:rFonts w:ascii="Calibri" w:hAnsi="Calibri"/>
                <w:color w:val="2B2B2B"/>
                <w:sz w:val="19"/>
              </w:rPr>
              <w:t>1000</w:t>
            </w:r>
          </w:p>
        </w:tc>
      </w:tr>
      <w:tr>
        <w:tc>
          <w:tcPr>
            <w:tcW w:type="dxa" w:w="2016"/>
          </w:tcPr>
          <w:p>
            <w:pPr>
              <w:spacing w:before="50" w:after="50"/>
              <w:jc w:val="left"/>
            </w:pPr>
            <w:r>
              <w:rPr>
                <w:rFonts w:ascii="Calibri" w:hAnsi="Calibri"/>
                <w:color w:val="2B2B2B"/>
                <w:sz w:val="19"/>
              </w:rPr>
              <w:t>frog</w:t>
            </w:r>
          </w:p>
        </w:tc>
        <w:tc>
          <w:tcPr>
            <w:tcW w:type="dxa" w:w="2016"/>
          </w:tcPr>
          <w:p>
            <w:pPr>
              <w:spacing w:before="50" w:after="50"/>
              <w:jc w:val="center"/>
            </w:pPr>
            <w:r>
              <w:rPr>
                <w:rFonts w:ascii="Calibri" w:hAnsi="Calibri"/>
                <w:color w:val="2B2B2B"/>
                <w:sz w:val="19"/>
              </w:rPr>
              <w:t>0.8447</w:t>
            </w:r>
          </w:p>
        </w:tc>
        <w:tc>
          <w:tcPr>
            <w:tcW w:type="dxa" w:w="2016"/>
          </w:tcPr>
          <w:p>
            <w:pPr>
              <w:spacing w:before="50" w:after="50"/>
              <w:jc w:val="center"/>
            </w:pPr>
            <w:r>
              <w:rPr>
                <w:rFonts w:ascii="Calibri" w:hAnsi="Calibri"/>
                <w:color w:val="2B2B2B"/>
                <w:sz w:val="19"/>
              </w:rPr>
              <w:t>0.7400</w:t>
            </w:r>
          </w:p>
        </w:tc>
        <w:tc>
          <w:tcPr>
            <w:tcW w:type="dxa" w:w="2016"/>
          </w:tcPr>
          <w:p>
            <w:pPr>
              <w:spacing w:before="50" w:after="50"/>
              <w:jc w:val="center"/>
            </w:pPr>
            <w:r>
              <w:rPr>
                <w:rFonts w:ascii="Calibri" w:hAnsi="Calibri"/>
                <w:color w:val="2B2B2B"/>
                <w:sz w:val="19"/>
              </w:rPr>
              <w:t>0.7889</w:t>
            </w:r>
          </w:p>
        </w:tc>
        <w:tc>
          <w:tcPr>
            <w:tcW w:type="dxa" w:w="2016"/>
          </w:tcPr>
          <w:p>
            <w:pPr>
              <w:spacing w:before="50" w:after="50"/>
              <w:jc w:val="center"/>
            </w:pPr>
            <w:r>
              <w:rPr>
                <w:rFonts w:ascii="Calibri" w:hAnsi="Calibri"/>
                <w:color w:val="2B2B2B"/>
                <w:sz w:val="19"/>
              </w:rPr>
              <w:t>1000</w:t>
            </w:r>
          </w:p>
        </w:tc>
      </w:tr>
      <w:tr>
        <w:tc>
          <w:tcPr>
            <w:tcW w:type="dxa" w:w="2016"/>
            <w:shd w:val="clear" w:color="auto" w:fill="F2EFEA"/>
          </w:tcPr>
          <w:p>
            <w:pPr>
              <w:spacing w:before="50" w:after="50"/>
              <w:jc w:val="left"/>
            </w:pPr>
            <w:r>
              <w:rPr>
                <w:rFonts w:ascii="Calibri" w:hAnsi="Calibri"/>
                <w:color w:val="2B2B2B"/>
                <w:sz w:val="19"/>
              </w:rPr>
              <w:t>horse</w:t>
            </w:r>
          </w:p>
        </w:tc>
        <w:tc>
          <w:tcPr>
            <w:tcW w:type="dxa" w:w="2016"/>
            <w:shd w:val="clear" w:color="auto" w:fill="F2EFEA"/>
          </w:tcPr>
          <w:p>
            <w:pPr>
              <w:spacing w:before="50" w:after="50"/>
              <w:jc w:val="center"/>
            </w:pPr>
            <w:r>
              <w:rPr>
                <w:rFonts w:ascii="Calibri" w:hAnsi="Calibri"/>
                <w:color w:val="2B2B2B"/>
                <w:sz w:val="19"/>
              </w:rPr>
              <w:t>0.7638</w:t>
            </w:r>
          </w:p>
        </w:tc>
        <w:tc>
          <w:tcPr>
            <w:tcW w:type="dxa" w:w="2016"/>
            <w:shd w:val="clear" w:color="auto" w:fill="F2EFEA"/>
          </w:tcPr>
          <w:p>
            <w:pPr>
              <w:spacing w:before="50" w:after="50"/>
              <w:jc w:val="center"/>
            </w:pPr>
            <w:r>
              <w:rPr>
                <w:rFonts w:ascii="Calibri" w:hAnsi="Calibri"/>
                <w:color w:val="2B2B2B"/>
                <w:sz w:val="19"/>
              </w:rPr>
              <w:t>0.7600</w:t>
            </w:r>
          </w:p>
        </w:tc>
        <w:tc>
          <w:tcPr>
            <w:tcW w:type="dxa" w:w="2016"/>
            <w:shd w:val="clear" w:color="auto" w:fill="F2EFEA"/>
          </w:tcPr>
          <w:p>
            <w:pPr>
              <w:spacing w:before="50" w:after="50"/>
              <w:jc w:val="center"/>
            </w:pPr>
            <w:r>
              <w:rPr>
                <w:rFonts w:ascii="Calibri" w:hAnsi="Calibri"/>
                <w:color w:val="2B2B2B"/>
                <w:sz w:val="19"/>
              </w:rPr>
              <w:t>0.7619</w:t>
            </w:r>
          </w:p>
        </w:tc>
        <w:tc>
          <w:tcPr>
            <w:tcW w:type="dxa" w:w="2016"/>
            <w:shd w:val="clear" w:color="auto" w:fill="F2EFEA"/>
          </w:tcPr>
          <w:p>
            <w:pPr>
              <w:spacing w:before="50" w:after="50"/>
              <w:jc w:val="center"/>
            </w:pPr>
            <w:r>
              <w:rPr>
                <w:rFonts w:ascii="Calibri" w:hAnsi="Calibri"/>
                <w:color w:val="2B2B2B"/>
                <w:sz w:val="19"/>
              </w:rPr>
              <w:t>1000</w:t>
            </w:r>
          </w:p>
        </w:tc>
      </w:tr>
      <w:tr>
        <w:tc>
          <w:tcPr>
            <w:tcW w:type="dxa" w:w="2016"/>
          </w:tcPr>
          <w:p>
            <w:pPr>
              <w:spacing w:before="50" w:after="50"/>
              <w:jc w:val="left"/>
            </w:pPr>
            <w:r>
              <w:rPr>
                <w:rFonts w:ascii="Calibri" w:hAnsi="Calibri"/>
                <w:color w:val="2B2B2B"/>
                <w:sz w:val="19"/>
              </w:rPr>
              <w:t>ship</w:t>
            </w:r>
          </w:p>
        </w:tc>
        <w:tc>
          <w:tcPr>
            <w:tcW w:type="dxa" w:w="2016"/>
          </w:tcPr>
          <w:p>
            <w:pPr>
              <w:spacing w:before="50" w:after="50"/>
              <w:jc w:val="center"/>
            </w:pPr>
            <w:r>
              <w:rPr>
                <w:rFonts w:ascii="Calibri" w:hAnsi="Calibri"/>
                <w:color w:val="2B2B2B"/>
                <w:sz w:val="19"/>
              </w:rPr>
              <w:t>0.9379</w:t>
            </w:r>
          </w:p>
        </w:tc>
        <w:tc>
          <w:tcPr>
            <w:tcW w:type="dxa" w:w="2016"/>
          </w:tcPr>
          <w:p>
            <w:pPr>
              <w:spacing w:before="50" w:after="50"/>
              <w:jc w:val="center"/>
            </w:pPr>
            <w:r>
              <w:rPr>
                <w:rFonts w:ascii="Calibri" w:hAnsi="Calibri"/>
                <w:color w:val="2B2B2B"/>
                <w:sz w:val="19"/>
              </w:rPr>
              <w:t>0.6950</w:t>
            </w:r>
          </w:p>
        </w:tc>
        <w:tc>
          <w:tcPr>
            <w:tcW w:type="dxa" w:w="2016"/>
          </w:tcPr>
          <w:p>
            <w:pPr>
              <w:spacing w:before="50" w:after="50"/>
              <w:jc w:val="center"/>
            </w:pPr>
            <w:r>
              <w:rPr>
                <w:rFonts w:ascii="Calibri" w:hAnsi="Calibri"/>
                <w:color w:val="2B2B2B"/>
                <w:sz w:val="19"/>
              </w:rPr>
              <w:t>0.7984</w:t>
            </w:r>
          </w:p>
        </w:tc>
        <w:tc>
          <w:tcPr>
            <w:tcW w:type="dxa" w:w="2016"/>
          </w:tcPr>
          <w:p>
            <w:pPr>
              <w:spacing w:before="50" w:after="50"/>
              <w:jc w:val="center"/>
            </w:pPr>
            <w:r>
              <w:rPr>
                <w:rFonts w:ascii="Calibri" w:hAnsi="Calibri"/>
                <w:color w:val="2B2B2B"/>
                <w:sz w:val="19"/>
              </w:rPr>
              <w:t>1000</w:t>
            </w:r>
          </w:p>
        </w:tc>
      </w:tr>
      <w:tr>
        <w:tc>
          <w:tcPr>
            <w:tcW w:type="dxa" w:w="2016"/>
            <w:shd w:val="clear" w:color="auto" w:fill="F2EFEA"/>
          </w:tcPr>
          <w:p>
            <w:pPr>
              <w:spacing w:before="50" w:after="50"/>
              <w:jc w:val="left"/>
            </w:pPr>
            <w:r>
              <w:rPr>
                <w:rFonts w:ascii="Calibri" w:hAnsi="Calibri"/>
                <w:color w:val="2B2B2B"/>
                <w:sz w:val="19"/>
              </w:rPr>
              <w:t>truck</w:t>
            </w:r>
          </w:p>
        </w:tc>
        <w:tc>
          <w:tcPr>
            <w:tcW w:type="dxa" w:w="2016"/>
            <w:shd w:val="clear" w:color="auto" w:fill="F2EFEA"/>
          </w:tcPr>
          <w:p>
            <w:pPr>
              <w:spacing w:before="50" w:after="50"/>
              <w:jc w:val="center"/>
            </w:pPr>
            <w:r>
              <w:rPr>
                <w:rFonts w:ascii="Calibri" w:hAnsi="Calibri"/>
                <w:color w:val="2B2B2B"/>
                <w:sz w:val="19"/>
              </w:rPr>
              <w:t>0.9106</w:t>
            </w:r>
          </w:p>
        </w:tc>
        <w:tc>
          <w:tcPr>
            <w:tcW w:type="dxa" w:w="2016"/>
            <w:shd w:val="clear" w:color="auto" w:fill="F2EFEA"/>
          </w:tcPr>
          <w:p>
            <w:pPr>
              <w:spacing w:before="50" w:after="50"/>
              <w:jc w:val="center"/>
            </w:pPr>
            <w:r>
              <w:rPr>
                <w:rFonts w:ascii="Calibri" w:hAnsi="Calibri"/>
                <w:color w:val="2B2B2B"/>
                <w:sz w:val="19"/>
              </w:rPr>
              <w:t>0.6420</w:t>
            </w:r>
          </w:p>
        </w:tc>
        <w:tc>
          <w:tcPr>
            <w:tcW w:type="dxa" w:w="2016"/>
            <w:shd w:val="clear" w:color="auto" w:fill="F2EFEA"/>
          </w:tcPr>
          <w:p>
            <w:pPr>
              <w:spacing w:before="50" w:after="50"/>
              <w:jc w:val="center"/>
            </w:pPr>
            <w:r>
              <w:rPr>
                <w:rFonts w:ascii="Calibri" w:hAnsi="Calibri"/>
                <w:color w:val="2B2B2B"/>
                <w:sz w:val="19"/>
              </w:rPr>
              <w:t>0.7531</w:t>
            </w:r>
          </w:p>
        </w:tc>
        <w:tc>
          <w:tcPr>
            <w:tcW w:type="dxa" w:w="2016"/>
            <w:shd w:val="clear" w:color="auto" w:fill="F2EFEA"/>
          </w:tcPr>
          <w:p>
            <w:pPr>
              <w:spacing w:before="50" w:after="50"/>
              <w:jc w:val="center"/>
            </w:pPr>
            <w:r>
              <w:rPr>
                <w:rFonts w:ascii="Calibri" w:hAnsi="Calibri"/>
                <w:color w:val="2B2B2B"/>
                <w:sz w:val="19"/>
              </w:rPr>
              <w:t>1000</w:t>
            </w:r>
          </w:p>
        </w:tc>
      </w:tr>
      <w:tr>
        <w:tc>
          <w:tcPr>
            <w:tcW w:type="dxa" w:w="2016"/>
          </w:tcPr>
          <w:p>
            <w:pPr>
              <w:spacing w:before="50" w:after="50"/>
              <w:jc w:val="left"/>
            </w:pPr>
            <w:r>
              <w:rPr>
                <w:rFonts w:ascii="Calibri" w:hAnsi="Calibri"/>
                <w:b/>
                <w:color w:val="2B2B2B"/>
                <w:sz w:val="19"/>
              </w:rPr>
              <w:t>Accuracy</w:t>
            </w:r>
          </w:p>
        </w:tc>
        <w:tc>
          <w:tcPr>
            <w:tcW w:type="dxa" w:w="2016"/>
          </w:tcPr>
          <w:p>
            <w:pPr>
              <w:spacing w:before="50" w:after="50"/>
              <w:jc w:val="center"/>
            </w:pPr>
            <w:r>
              <w:rPr>
                <w:rFonts w:ascii="Calibri" w:hAnsi="Calibri"/>
                <w:b/>
                <w:color w:val="2B2B2B"/>
                <w:sz w:val="19"/>
              </w:rPr>
            </w:r>
          </w:p>
        </w:tc>
        <w:tc>
          <w:tcPr>
            <w:tcW w:type="dxa" w:w="2016"/>
          </w:tcPr>
          <w:p>
            <w:pPr>
              <w:spacing w:before="50" w:after="50"/>
              <w:jc w:val="center"/>
            </w:pPr>
            <w:r>
              <w:rPr>
                <w:rFonts w:ascii="Calibri" w:hAnsi="Calibri"/>
                <w:b/>
                <w:color w:val="2B2B2B"/>
                <w:sz w:val="19"/>
              </w:rPr>
            </w:r>
          </w:p>
        </w:tc>
        <w:tc>
          <w:tcPr>
            <w:tcW w:type="dxa" w:w="2016"/>
          </w:tcPr>
          <w:p>
            <w:pPr>
              <w:spacing w:before="50" w:after="50"/>
              <w:jc w:val="center"/>
            </w:pPr>
            <w:r>
              <w:rPr>
                <w:rFonts w:ascii="Calibri" w:hAnsi="Calibri"/>
                <w:b/>
                <w:color w:val="2B2B2B"/>
                <w:sz w:val="19"/>
              </w:rPr>
              <w:t>0.7025</w:t>
            </w:r>
          </w:p>
        </w:tc>
        <w:tc>
          <w:tcPr>
            <w:tcW w:type="dxa" w:w="2016"/>
          </w:tcPr>
          <w:p>
            <w:pPr>
              <w:spacing w:before="50" w:after="50"/>
              <w:jc w:val="center"/>
            </w:pPr>
            <w:r>
              <w:rPr>
                <w:rFonts w:ascii="Calibri" w:hAnsi="Calibri"/>
                <w:b/>
                <w:color w:val="2B2B2B"/>
                <w:sz w:val="19"/>
              </w:rPr>
              <w:t>10000</w:t>
            </w:r>
          </w:p>
        </w:tc>
      </w:tr>
      <w:tr>
        <w:tc>
          <w:tcPr>
            <w:tcW w:type="dxa" w:w="2016"/>
            <w:shd w:val="clear" w:color="auto" w:fill="F2EFEA"/>
          </w:tcPr>
          <w:p>
            <w:pPr>
              <w:spacing w:before="50" w:after="50"/>
              <w:jc w:val="left"/>
            </w:pPr>
            <w:r>
              <w:rPr>
                <w:rFonts w:ascii="Calibri" w:hAnsi="Calibri"/>
                <w:b/>
                <w:color w:val="2B2B2B"/>
                <w:sz w:val="19"/>
              </w:rPr>
              <w:t>macro avg</w:t>
            </w:r>
          </w:p>
        </w:tc>
        <w:tc>
          <w:tcPr>
            <w:tcW w:type="dxa" w:w="2016"/>
            <w:shd w:val="clear" w:color="auto" w:fill="F2EFEA"/>
          </w:tcPr>
          <w:p>
            <w:pPr>
              <w:spacing w:before="50" w:after="50"/>
              <w:jc w:val="center"/>
            </w:pPr>
            <w:r>
              <w:rPr>
                <w:rFonts w:ascii="Calibri" w:hAnsi="Calibri"/>
                <w:b/>
                <w:color w:val="2B2B2B"/>
                <w:sz w:val="19"/>
              </w:rPr>
              <w:t>0.7354</w:t>
            </w:r>
          </w:p>
        </w:tc>
        <w:tc>
          <w:tcPr>
            <w:tcW w:type="dxa" w:w="2016"/>
            <w:shd w:val="clear" w:color="auto" w:fill="F2EFEA"/>
          </w:tcPr>
          <w:p>
            <w:pPr>
              <w:spacing w:before="50" w:after="50"/>
              <w:jc w:val="center"/>
            </w:pPr>
            <w:r>
              <w:rPr>
                <w:rFonts w:ascii="Calibri" w:hAnsi="Calibri"/>
                <w:b/>
                <w:color w:val="2B2B2B"/>
                <w:sz w:val="19"/>
              </w:rPr>
              <w:t>0.7025</w:t>
            </w:r>
          </w:p>
        </w:tc>
        <w:tc>
          <w:tcPr>
            <w:tcW w:type="dxa" w:w="2016"/>
            <w:shd w:val="clear" w:color="auto" w:fill="F2EFEA"/>
          </w:tcPr>
          <w:p>
            <w:pPr>
              <w:spacing w:before="50" w:after="50"/>
              <w:jc w:val="center"/>
            </w:pPr>
            <w:r>
              <w:rPr>
                <w:rFonts w:ascii="Calibri" w:hAnsi="Calibri"/>
                <w:b/>
                <w:color w:val="2B2B2B"/>
                <w:sz w:val="19"/>
              </w:rPr>
              <w:t>0.7069</w:t>
            </w:r>
          </w:p>
        </w:tc>
        <w:tc>
          <w:tcPr>
            <w:tcW w:type="dxa" w:w="2016"/>
            <w:shd w:val="clear" w:color="auto" w:fill="F2EFEA"/>
          </w:tcPr>
          <w:p>
            <w:pPr>
              <w:spacing w:before="50" w:after="50"/>
              <w:jc w:val="center"/>
            </w:pPr>
            <w:r>
              <w:rPr>
                <w:rFonts w:ascii="Calibri" w:hAnsi="Calibri"/>
                <w:b/>
                <w:color w:val="2B2B2B"/>
                <w:sz w:val="19"/>
              </w:rPr>
              <w:t>10000</w:t>
            </w:r>
          </w:p>
        </w:tc>
      </w:tr>
      <w:tr>
        <w:tc>
          <w:tcPr>
            <w:tcW w:type="dxa" w:w="2016"/>
          </w:tcPr>
          <w:p>
            <w:pPr>
              <w:spacing w:before="50" w:after="50"/>
              <w:jc w:val="left"/>
            </w:pPr>
            <w:r>
              <w:rPr>
                <w:rFonts w:ascii="Calibri" w:hAnsi="Calibri"/>
                <w:b/>
                <w:color w:val="2B2B2B"/>
                <w:sz w:val="19"/>
              </w:rPr>
              <w:t>weighted avg</w:t>
            </w:r>
          </w:p>
        </w:tc>
        <w:tc>
          <w:tcPr>
            <w:tcW w:type="dxa" w:w="2016"/>
          </w:tcPr>
          <w:p>
            <w:pPr>
              <w:spacing w:before="50" w:after="50"/>
              <w:jc w:val="center"/>
            </w:pPr>
            <w:r>
              <w:rPr>
                <w:rFonts w:ascii="Calibri" w:hAnsi="Calibri"/>
                <w:b/>
                <w:color w:val="2B2B2B"/>
                <w:sz w:val="19"/>
              </w:rPr>
              <w:t>0.7354</w:t>
            </w:r>
          </w:p>
        </w:tc>
        <w:tc>
          <w:tcPr>
            <w:tcW w:type="dxa" w:w="2016"/>
          </w:tcPr>
          <w:p>
            <w:pPr>
              <w:spacing w:before="50" w:after="50"/>
              <w:jc w:val="center"/>
            </w:pPr>
            <w:r>
              <w:rPr>
                <w:rFonts w:ascii="Calibri" w:hAnsi="Calibri"/>
                <w:b/>
                <w:color w:val="2B2B2B"/>
                <w:sz w:val="19"/>
              </w:rPr>
              <w:t>0.7025</w:t>
            </w:r>
          </w:p>
        </w:tc>
        <w:tc>
          <w:tcPr>
            <w:tcW w:type="dxa" w:w="2016"/>
          </w:tcPr>
          <w:p>
            <w:pPr>
              <w:spacing w:before="50" w:after="50"/>
              <w:jc w:val="center"/>
            </w:pPr>
            <w:r>
              <w:rPr>
                <w:rFonts w:ascii="Calibri" w:hAnsi="Calibri"/>
                <w:b/>
                <w:color w:val="2B2B2B"/>
                <w:sz w:val="19"/>
              </w:rPr>
              <w:t>0.7069</w:t>
            </w:r>
          </w:p>
        </w:tc>
        <w:tc>
          <w:tcPr>
            <w:tcW w:type="dxa" w:w="2016"/>
          </w:tcPr>
          <w:p>
            <w:pPr>
              <w:spacing w:before="50" w:after="50"/>
              <w:jc w:val="center"/>
            </w:pPr>
            <w:r>
              <w:rPr>
                <w:rFonts w:ascii="Calibri" w:hAnsi="Calibri"/>
                <w:b/>
                <w:color w:val="2B2B2B"/>
                <w:sz w:val="19"/>
              </w:rPr>
              <w:t>10000</w:t>
            </w:r>
          </w:p>
        </w:tc>
      </w:tr>
    </w:tbl>
    <w:p>
      <w:pPr>
        <w:spacing w:before="0" w:after="80"/>
      </w:pPr>
    </w:p>
    <w:p>
      <w:pPr>
        <w:keepNext/>
        <w:spacing w:before="200" w:after="60"/>
      </w:pPr>
      <w:r>
        <w:rPr>
          <w:rFonts w:ascii="Calibri" w:hAnsi="Calibri"/>
          <w:b/>
          <w:color w:val="3B2A20"/>
          <w:sz w:val="26"/>
        </w:rPr>
        <w:t>8.2 Vision Transformer Classification Report</w:t>
      </w:r>
    </w:p>
    <w:tbl>
      <w:tblPr>
        <w:tblW w:type="auto" w:w="0"/>
        <w:jc w:val="cente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016"/>
        <w:gridCol w:w="2016"/>
        <w:gridCol w:w="2016"/>
        <w:gridCol w:w="2016"/>
        <w:gridCol w:w="2016"/>
      </w:tblGrid>
      <w:tr>
        <w:tc>
          <w:tcPr>
            <w:tcW w:type="dxa" w:w="2016"/>
            <w:shd w:val="clear" w:color="auto" w:fill="3B2A20"/>
          </w:tcPr>
          <w:p>
            <w:pPr>
              <w:spacing w:before="60" w:after="60"/>
              <w:jc w:val="center"/>
            </w:pPr>
            <w:r>
              <w:rPr>
                <w:rFonts w:ascii="Calibri" w:hAnsi="Calibri"/>
                <w:b/>
                <w:color w:val="FFFFFF"/>
                <w:sz w:val="20"/>
              </w:rPr>
              <w:t>Class</w:t>
            </w:r>
          </w:p>
        </w:tc>
        <w:tc>
          <w:tcPr>
            <w:tcW w:type="dxa" w:w="2016"/>
            <w:shd w:val="clear" w:color="auto" w:fill="3B2A20"/>
          </w:tcPr>
          <w:p>
            <w:pPr>
              <w:spacing w:before="60" w:after="60"/>
              <w:jc w:val="center"/>
            </w:pPr>
            <w:r>
              <w:rPr>
                <w:rFonts w:ascii="Calibri" w:hAnsi="Calibri"/>
                <w:b/>
                <w:color w:val="FFFFFF"/>
                <w:sz w:val="20"/>
              </w:rPr>
              <w:t>Precision</w:t>
            </w:r>
          </w:p>
        </w:tc>
        <w:tc>
          <w:tcPr>
            <w:tcW w:type="dxa" w:w="2016"/>
            <w:shd w:val="clear" w:color="auto" w:fill="3B2A20"/>
          </w:tcPr>
          <w:p>
            <w:pPr>
              <w:spacing w:before="60" w:after="60"/>
              <w:jc w:val="center"/>
            </w:pPr>
            <w:r>
              <w:rPr>
                <w:rFonts w:ascii="Calibri" w:hAnsi="Calibri"/>
                <w:b/>
                <w:color w:val="FFFFFF"/>
                <w:sz w:val="20"/>
              </w:rPr>
              <w:t>Recall</w:t>
            </w:r>
          </w:p>
        </w:tc>
        <w:tc>
          <w:tcPr>
            <w:tcW w:type="dxa" w:w="2016"/>
            <w:shd w:val="clear" w:color="auto" w:fill="3B2A20"/>
          </w:tcPr>
          <w:p>
            <w:pPr>
              <w:spacing w:before="60" w:after="60"/>
              <w:jc w:val="center"/>
            </w:pPr>
            <w:r>
              <w:rPr>
                <w:rFonts w:ascii="Calibri" w:hAnsi="Calibri"/>
                <w:b/>
                <w:color w:val="FFFFFF"/>
                <w:sz w:val="20"/>
              </w:rPr>
              <w:t>F1-Score</w:t>
            </w:r>
          </w:p>
        </w:tc>
        <w:tc>
          <w:tcPr>
            <w:tcW w:type="dxa" w:w="2016"/>
            <w:shd w:val="clear" w:color="auto" w:fill="3B2A20"/>
          </w:tcPr>
          <w:p>
            <w:pPr>
              <w:spacing w:before="60" w:after="60"/>
              <w:jc w:val="center"/>
            </w:pPr>
            <w:r>
              <w:rPr>
                <w:rFonts w:ascii="Calibri" w:hAnsi="Calibri"/>
                <w:b/>
                <w:color w:val="FFFFFF"/>
                <w:sz w:val="20"/>
              </w:rPr>
              <w:t>Support</w:t>
            </w:r>
          </w:p>
        </w:tc>
      </w:tr>
      <w:tr>
        <w:tc>
          <w:tcPr>
            <w:tcW w:type="dxa" w:w="2016"/>
          </w:tcPr>
          <w:p>
            <w:pPr>
              <w:spacing w:before="50" w:after="50"/>
              <w:jc w:val="left"/>
            </w:pPr>
            <w:r>
              <w:rPr>
                <w:rFonts w:ascii="Calibri" w:hAnsi="Calibri"/>
                <w:color w:val="2B2B2B"/>
                <w:sz w:val="19"/>
              </w:rPr>
              <w:t>airplane</w:t>
            </w:r>
          </w:p>
        </w:tc>
        <w:tc>
          <w:tcPr>
            <w:tcW w:type="dxa" w:w="2016"/>
          </w:tcPr>
          <w:p>
            <w:pPr>
              <w:spacing w:before="50" w:after="50"/>
              <w:jc w:val="center"/>
            </w:pPr>
            <w:r>
              <w:rPr>
                <w:rFonts w:ascii="Calibri" w:hAnsi="Calibri"/>
                <w:color w:val="2B2B2B"/>
                <w:sz w:val="19"/>
              </w:rPr>
              <w:t>0.9920</w:t>
            </w:r>
          </w:p>
        </w:tc>
        <w:tc>
          <w:tcPr>
            <w:tcW w:type="dxa" w:w="2016"/>
          </w:tcPr>
          <w:p>
            <w:pPr>
              <w:spacing w:before="50" w:after="50"/>
              <w:jc w:val="center"/>
            </w:pPr>
            <w:r>
              <w:rPr>
                <w:rFonts w:ascii="Calibri" w:hAnsi="Calibri"/>
                <w:color w:val="2B2B2B"/>
                <w:sz w:val="19"/>
              </w:rPr>
              <w:t>0.9860</w:t>
            </w:r>
          </w:p>
        </w:tc>
        <w:tc>
          <w:tcPr>
            <w:tcW w:type="dxa" w:w="2016"/>
          </w:tcPr>
          <w:p>
            <w:pPr>
              <w:spacing w:before="50" w:after="50"/>
              <w:jc w:val="center"/>
            </w:pPr>
            <w:r>
              <w:rPr>
                <w:rFonts w:ascii="Calibri" w:hAnsi="Calibri"/>
                <w:color w:val="2B2B2B"/>
                <w:sz w:val="19"/>
              </w:rPr>
              <w:t>0.9890</w:t>
            </w:r>
          </w:p>
        </w:tc>
        <w:tc>
          <w:tcPr>
            <w:tcW w:type="dxa" w:w="2016"/>
          </w:tcPr>
          <w:p>
            <w:pPr>
              <w:spacing w:before="50" w:after="50"/>
              <w:jc w:val="center"/>
            </w:pPr>
            <w:r>
              <w:rPr>
                <w:rFonts w:ascii="Calibri" w:hAnsi="Calibri"/>
                <w:color w:val="2B2B2B"/>
                <w:sz w:val="19"/>
              </w:rPr>
              <w:t>1000</w:t>
            </w:r>
          </w:p>
        </w:tc>
      </w:tr>
      <w:tr>
        <w:tc>
          <w:tcPr>
            <w:tcW w:type="dxa" w:w="2016"/>
            <w:shd w:val="clear" w:color="auto" w:fill="F2EFEA"/>
          </w:tcPr>
          <w:p>
            <w:pPr>
              <w:spacing w:before="50" w:after="50"/>
              <w:jc w:val="left"/>
            </w:pPr>
            <w:r>
              <w:rPr>
                <w:rFonts w:ascii="Calibri" w:hAnsi="Calibri"/>
                <w:color w:val="2B2B2B"/>
                <w:sz w:val="19"/>
              </w:rPr>
              <w:t>automobile</w:t>
            </w:r>
          </w:p>
        </w:tc>
        <w:tc>
          <w:tcPr>
            <w:tcW w:type="dxa" w:w="2016"/>
            <w:shd w:val="clear" w:color="auto" w:fill="F2EFEA"/>
          </w:tcPr>
          <w:p>
            <w:pPr>
              <w:spacing w:before="50" w:after="50"/>
              <w:jc w:val="center"/>
            </w:pPr>
            <w:r>
              <w:rPr>
                <w:rFonts w:ascii="Calibri" w:hAnsi="Calibri"/>
                <w:color w:val="2B2B2B"/>
                <w:sz w:val="19"/>
              </w:rPr>
              <w:t>0.9811</w:t>
            </w:r>
          </w:p>
        </w:tc>
        <w:tc>
          <w:tcPr>
            <w:tcW w:type="dxa" w:w="2016"/>
            <w:shd w:val="clear" w:color="auto" w:fill="F2EFEA"/>
          </w:tcPr>
          <w:p>
            <w:pPr>
              <w:spacing w:before="50" w:after="50"/>
              <w:jc w:val="center"/>
            </w:pPr>
            <w:r>
              <w:rPr>
                <w:rFonts w:ascii="Calibri" w:hAnsi="Calibri"/>
                <w:color w:val="2B2B2B"/>
                <w:sz w:val="19"/>
              </w:rPr>
              <w:t>0.9870</w:t>
            </w:r>
          </w:p>
        </w:tc>
        <w:tc>
          <w:tcPr>
            <w:tcW w:type="dxa" w:w="2016"/>
            <w:shd w:val="clear" w:color="auto" w:fill="F2EFEA"/>
          </w:tcPr>
          <w:p>
            <w:pPr>
              <w:spacing w:before="50" w:after="50"/>
              <w:jc w:val="center"/>
            </w:pPr>
            <w:r>
              <w:rPr>
                <w:rFonts w:ascii="Calibri" w:hAnsi="Calibri"/>
                <w:color w:val="2B2B2B"/>
                <w:sz w:val="19"/>
              </w:rPr>
              <w:t>0.9840</w:t>
            </w:r>
          </w:p>
        </w:tc>
        <w:tc>
          <w:tcPr>
            <w:tcW w:type="dxa" w:w="2016"/>
            <w:shd w:val="clear" w:color="auto" w:fill="F2EFEA"/>
          </w:tcPr>
          <w:p>
            <w:pPr>
              <w:spacing w:before="50" w:after="50"/>
              <w:jc w:val="center"/>
            </w:pPr>
            <w:r>
              <w:rPr>
                <w:rFonts w:ascii="Calibri" w:hAnsi="Calibri"/>
                <w:color w:val="2B2B2B"/>
                <w:sz w:val="19"/>
              </w:rPr>
              <w:t>1000</w:t>
            </w:r>
          </w:p>
        </w:tc>
      </w:tr>
      <w:tr>
        <w:tc>
          <w:tcPr>
            <w:tcW w:type="dxa" w:w="2016"/>
          </w:tcPr>
          <w:p>
            <w:pPr>
              <w:spacing w:before="50" w:after="50"/>
              <w:jc w:val="left"/>
            </w:pPr>
            <w:r>
              <w:rPr>
                <w:rFonts w:ascii="Calibri" w:hAnsi="Calibri"/>
                <w:color w:val="2B2B2B"/>
                <w:sz w:val="19"/>
              </w:rPr>
              <w:t>bird</w:t>
            </w:r>
          </w:p>
        </w:tc>
        <w:tc>
          <w:tcPr>
            <w:tcW w:type="dxa" w:w="2016"/>
          </w:tcPr>
          <w:p>
            <w:pPr>
              <w:spacing w:before="50" w:after="50"/>
              <w:jc w:val="center"/>
            </w:pPr>
            <w:r>
              <w:rPr>
                <w:rFonts w:ascii="Calibri" w:hAnsi="Calibri"/>
                <w:color w:val="2B2B2B"/>
                <w:sz w:val="19"/>
              </w:rPr>
              <w:t>0.9929</w:t>
            </w:r>
          </w:p>
        </w:tc>
        <w:tc>
          <w:tcPr>
            <w:tcW w:type="dxa" w:w="2016"/>
          </w:tcPr>
          <w:p>
            <w:pPr>
              <w:spacing w:before="50" w:after="50"/>
              <w:jc w:val="center"/>
            </w:pPr>
            <w:r>
              <w:rPr>
                <w:rFonts w:ascii="Calibri" w:hAnsi="Calibri"/>
                <w:color w:val="2B2B2B"/>
                <w:sz w:val="19"/>
              </w:rPr>
              <w:t>0.9840</w:t>
            </w:r>
          </w:p>
        </w:tc>
        <w:tc>
          <w:tcPr>
            <w:tcW w:type="dxa" w:w="2016"/>
          </w:tcPr>
          <w:p>
            <w:pPr>
              <w:spacing w:before="50" w:after="50"/>
              <w:jc w:val="center"/>
            </w:pPr>
            <w:r>
              <w:rPr>
                <w:rFonts w:ascii="Calibri" w:hAnsi="Calibri"/>
                <w:color w:val="2B2B2B"/>
                <w:sz w:val="19"/>
              </w:rPr>
              <w:t>0.9884</w:t>
            </w:r>
          </w:p>
        </w:tc>
        <w:tc>
          <w:tcPr>
            <w:tcW w:type="dxa" w:w="2016"/>
          </w:tcPr>
          <w:p>
            <w:pPr>
              <w:spacing w:before="50" w:after="50"/>
              <w:jc w:val="center"/>
            </w:pPr>
            <w:r>
              <w:rPr>
                <w:rFonts w:ascii="Calibri" w:hAnsi="Calibri"/>
                <w:color w:val="2B2B2B"/>
                <w:sz w:val="19"/>
              </w:rPr>
              <w:t>1000</w:t>
            </w:r>
          </w:p>
        </w:tc>
      </w:tr>
      <w:tr>
        <w:tc>
          <w:tcPr>
            <w:tcW w:type="dxa" w:w="2016"/>
            <w:shd w:val="clear" w:color="auto" w:fill="F2EFEA"/>
          </w:tcPr>
          <w:p>
            <w:pPr>
              <w:spacing w:before="50" w:after="50"/>
              <w:jc w:val="left"/>
            </w:pPr>
            <w:r>
              <w:rPr>
                <w:rFonts w:ascii="Calibri" w:hAnsi="Calibri"/>
                <w:color w:val="2B2B2B"/>
                <w:sz w:val="19"/>
              </w:rPr>
              <w:t>cat</w:t>
            </w:r>
          </w:p>
        </w:tc>
        <w:tc>
          <w:tcPr>
            <w:tcW w:type="dxa" w:w="2016"/>
            <w:shd w:val="clear" w:color="auto" w:fill="F2EFEA"/>
          </w:tcPr>
          <w:p>
            <w:pPr>
              <w:spacing w:before="50" w:after="50"/>
              <w:jc w:val="center"/>
            </w:pPr>
            <w:r>
              <w:rPr>
                <w:rFonts w:ascii="Calibri" w:hAnsi="Calibri"/>
                <w:color w:val="2B2B2B"/>
                <w:sz w:val="19"/>
              </w:rPr>
              <w:t>0.9650</w:t>
            </w:r>
          </w:p>
        </w:tc>
        <w:tc>
          <w:tcPr>
            <w:tcW w:type="dxa" w:w="2016"/>
            <w:shd w:val="clear" w:color="auto" w:fill="F2EFEA"/>
          </w:tcPr>
          <w:p>
            <w:pPr>
              <w:spacing w:before="50" w:after="50"/>
              <w:jc w:val="center"/>
            </w:pPr>
            <w:r>
              <w:rPr>
                <w:rFonts w:ascii="Calibri" w:hAnsi="Calibri"/>
                <w:color w:val="2B2B2B"/>
                <w:sz w:val="19"/>
              </w:rPr>
              <w:t>0.9640</w:t>
            </w:r>
          </w:p>
        </w:tc>
        <w:tc>
          <w:tcPr>
            <w:tcW w:type="dxa" w:w="2016"/>
            <w:shd w:val="clear" w:color="auto" w:fill="F2EFEA"/>
          </w:tcPr>
          <w:p>
            <w:pPr>
              <w:spacing w:before="50" w:after="50"/>
              <w:jc w:val="center"/>
            </w:pPr>
            <w:r>
              <w:rPr>
                <w:rFonts w:ascii="Calibri" w:hAnsi="Calibri"/>
                <w:color w:val="2B2B2B"/>
                <w:sz w:val="19"/>
              </w:rPr>
              <w:t>0.9645</w:t>
            </w:r>
          </w:p>
        </w:tc>
        <w:tc>
          <w:tcPr>
            <w:tcW w:type="dxa" w:w="2016"/>
            <w:shd w:val="clear" w:color="auto" w:fill="F2EFEA"/>
          </w:tcPr>
          <w:p>
            <w:pPr>
              <w:spacing w:before="50" w:after="50"/>
              <w:jc w:val="center"/>
            </w:pPr>
            <w:r>
              <w:rPr>
                <w:rFonts w:ascii="Calibri" w:hAnsi="Calibri"/>
                <w:color w:val="2B2B2B"/>
                <w:sz w:val="19"/>
              </w:rPr>
              <w:t>1000</w:t>
            </w:r>
          </w:p>
        </w:tc>
      </w:tr>
      <w:tr>
        <w:tc>
          <w:tcPr>
            <w:tcW w:type="dxa" w:w="2016"/>
          </w:tcPr>
          <w:p>
            <w:pPr>
              <w:spacing w:before="50" w:after="50"/>
              <w:jc w:val="left"/>
            </w:pPr>
            <w:r>
              <w:rPr>
                <w:rFonts w:ascii="Calibri" w:hAnsi="Calibri"/>
                <w:color w:val="2B2B2B"/>
                <w:sz w:val="19"/>
              </w:rPr>
              <w:t>deer</w:t>
            </w:r>
          </w:p>
        </w:tc>
        <w:tc>
          <w:tcPr>
            <w:tcW w:type="dxa" w:w="2016"/>
          </w:tcPr>
          <w:p>
            <w:pPr>
              <w:spacing w:before="50" w:after="50"/>
              <w:jc w:val="center"/>
            </w:pPr>
            <w:r>
              <w:rPr>
                <w:rFonts w:ascii="Calibri" w:hAnsi="Calibri"/>
                <w:color w:val="2B2B2B"/>
                <w:sz w:val="19"/>
              </w:rPr>
              <w:t>0.9860</w:t>
            </w:r>
          </w:p>
        </w:tc>
        <w:tc>
          <w:tcPr>
            <w:tcW w:type="dxa" w:w="2016"/>
          </w:tcPr>
          <w:p>
            <w:pPr>
              <w:spacing w:before="50" w:after="50"/>
              <w:jc w:val="center"/>
            </w:pPr>
            <w:r>
              <w:rPr>
                <w:rFonts w:ascii="Calibri" w:hAnsi="Calibri"/>
                <w:color w:val="2B2B2B"/>
                <w:sz w:val="19"/>
              </w:rPr>
              <w:t>0.9880</w:t>
            </w:r>
          </w:p>
        </w:tc>
        <w:tc>
          <w:tcPr>
            <w:tcW w:type="dxa" w:w="2016"/>
          </w:tcPr>
          <w:p>
            <w:pPr>
              <w:spacing w:before="50" w:after="50"/>
              <w:jc w:val="center"/>
            </w:pPr>
            <w:r>
              <w:rPr>
                <w:rFonts w:ascii="Calibri" w:hAnsi="Calibri"/>
                <w:color w:val="2B2B2B"/>
                <w:sz w:val="19"/>
              </w:rPr>
              <w:t>0.9870</w:t>
            </w:r>
          </w:p>
        </w:tc>
        <w:tc>
          <w:tcPr>
            <w:tcW w:type="dxa" w:w="2016"/>
          </w:tcPr>
          <w:p>
            <w:pPr>
              <w:spacing w:before="50" w:after="50"/>
              <w:jc w:val="center"/>
            </w:pPr>
            <w:r>
              <w:rPr>
                <w:rFonts w:ascii="Calibri" w:hAnsi="Calibri"/>
                <w:color w:val="2B2B2B"/>
                <w:sz w:val="19"/>
              </w:rPr>
              <w:t>1000</w:t>
            </w:r>
          </w:p>
        </w:tc>
      </w:tr>
      <w:tr>
        <w:tc>
          <w:tcPr>
            <w:tcW w:type="dxa" w:w="2016"/>
            <w:shd w:val="clear" w:color="auto" w:fill="F2EFEA"/>
          </w:tcPr>
          <w:p>
            <w:pPr>
              <w:spacing w:before="50" w:after="50"/>
              <w:jc w:val="left"/>
            </w:pPr>
            <w:r>
              <w:rPr>
                <w:rFonts w:ascii="Calibri" w:hAnsi="Calibri"/>
                <w:color w:val="2B2B2B"/>
                <w:sz w:val="19"/>
              </w:rPr>
              <w:t>dog</w:t>
            </w:r>
          </w:p>
        </w:tc>
        <w:tc>
          <w:tcPr>
            <w:tcW w:type="dxa" w:w="2016"/>
            <w:shd w:val="clear" w:color="auto" w:fill="F2EFEA"/>
          </w:tcPr>
          <w:p>
            <w:pPr>
              <w:spacing w:before="50" w:after="50"/>
              <w:jc w:val="center"/>
            </w:pPr>
            <w:r>
              <w:rPr>
                <w:rFonts w:ascii="Calibri" w:hAnsi="Calibri"/>
                <w:color w:val="2B2B2B"/>
                <w:sz w:val="19"/>
              </w:rPr>
              <w:t>0.9660</w:t>
            </w:r>
          </w:p>
        </w:tc>
        <w:tc>
          <w:tcPr>
            <w:tcW w:type="dxa" w:w="2016"/>
            <w:shd w:val="clear" w:color="auto" w:fill="F2EFEA"/>
          </w:tcPr>
          <w:p>
            <w:pPr>
              <w:spacing w:before="50" w:after="50"/>
              <w:jc w:val="center"/>
            </w:pPr>
            <w:r>
              <w:rPr>
                <w:rFonts w:ascii="Calibri" w:hAnsi="Calibri"/>
                <w:color w:val="2B2B2B"/>
                <w:sz w:val="19"/>
              </w:rPr>
              <w:t>0.9670</w:t>
            </w:r>
          </w:p>
        </w:tc>
        <w:tc>
          <w:tcPr>
            <w:tcW w:type="dxa" w:w="2016"/>
            <w:shd w:val="clear" w:color="auto" w:fill="F2EFEA"/>
          </w:tcPr>
          <w:p>
            <w:pPr>
              <w:spacing w:before="50" w:after="50"/>
              <w:jc w:val="center"/>
            </w:pPr>
            <w:r>
              <w:rPr>
                <w:rFonts w:ascii="Calibri" w:hAnsi="Calibri"/>
                <w:color w:val="2B2B2B"/>
                <w:sz w:val="19"/>
              </w:rPr>
              <w:t>0.9665</w:t>
            </w:r>
          </w:p>
        </w:tc>
        <w:tc>
          <w:tcPr>
            <w:tcW w:type="dxa" w:w="2016"/>
            <w:shd w:val="clear" w:color="auto" w:fill="F2EFEA"/>
          </w:tcPr>
          <w:p>
            <w:pPr>
              <w:spacing w:before="50" w:after="50"/>
              <w:jc w:val="center"/>
            </w:pPr>
            <w:r>
              <w:rPr>
                <w:rFonts w:ascii="Calibri" w:hAnsi="Calibri"/>
                <w:color w:val="2B2B2B"/>
                <w:sz w:val="19"/>
              </w:rPr>
              <w:t>1000</w:t>
            </w:r>
          </w:p>
        </w:tc>
      </w:tr>
      <w:tr>
        <w:tc>
          <w:tcPr>
            <w:tcW w:type="dxa" w:w="2016"/>
          </w:tcPr>
          <w:p>
            <w:pPr>
              <w:spacing w:before="50" w:after="50"/>
              <w:jc w:val="left"/>
            </w:pPr>
            <w:r>
              <w:rPr>
                <w:rFonts w:ascii="Calibri" w:hAnsi="Calibri"/>
                <w:color w:val="2B2B2B"/>
                <w:sz w:val="19"/>
              </w:rPr>
              <w:t>frog</w:t>
            </w:r>
          </w:p>
        </w:tc>
        <w:tc>
          <w:tcPr>
            <w:tcW w:type="dxa" w:w="2016"/>
          </w:tcPr>
          <w:p>
            <w:pPr>
              <w:spacing w:before="50" w:after="50"/>
              <w:jc w:val="center"/>
            </w:pPr>
            <w:r>
              <w:rPr>
                <w:rFonts w:ascii="Calibri" w:hAnsi="Calibri"/>
                <w:color w:val="2B2B2B"/>
                <w:sz w:val="19"/>
              </w:rPr>
              <w:t>0.9940</w:t>
            </w:r>
          </w:p>
        </w:tc>
        <w:tc>
          <w:tcPr>
            <w:tcW w:type="dxa" w:w="2016"/>
          </w:tcPr>
          <w:p>
            <w:pPr>
              <w:spacing w:before="50" w:after="50"/>
              <w:jc w:val="center"/>
            </w:pPr>
            <w:r>
              <w:rPr>
                <w:rFonts w:ascii="Calibri" w:hAnsi="Calibri"/>
                <w:color w:val="2B2B2B"/>
                <w:sz w:val="19"/>
              </w:rPr>
              <w:t>0.9970</w:t>
            </w:r>
          </w:p>
        </w:tc>
        <w:tc>
          <w:tcPr>
            <w:tcW w:type="dxa" w:w="2016"/>
          </w:tcPr>
          <w:p>
            <w:pPr>
              <w:spacing w:before="50" w:after="50"/>
              <w:jc w:val="center"/>
            </w:pPr>
            <w:r>
              <w:rPr>
                <w:rFonts w:ascii="Calibri" w:hAnsi="Calibri"/>
                <w:color w:val="2B2B2B"/>
                <w:sz w:val="19"/>
              </w:rPr>
              <w:t>0.9955</w:t>
            </w:r>
          </w:p>
        </w:tc>
        <w:tc>
          <w:tcPr>
            <w:tcW w:type="dxa" w:w="2016"/>
          </w:tcPr>
          <w:p>
            <w:pPr>
              <w:spacing w:before="50" w:after="50"/>
              <w:jc w:val="center"/>
            </w:pPr>
            <w:r>
              <w:rPr>
                <w:rFonts w:ascii="Calibri" w:hAnsi="Calibri"/>
                <w:color w:val="2B2B2B"/>
                <w:sz w:val="19"/>
              </w:rPr>
              <w:t>1000</w:t>
            </w:r>
          </w:p>
        </w:tc>
      </w:tr>
      <w:tr>
        <w:tc>
          <w:tcPr>
            <w:tcW w:type="dxa" w:w="2016"/>
            <w:shd w:val="clear" w:color="auto" w:fill="F2EFEA"/>
          </w:tcPr>
          <w:p>
            <w:pPr>
              <w:spacing w:before="50" w:after="50"/>
              <w:jc w:val="left"/>
            </w:pPr>
            <w:r>
              <w:rPr>
                <w:rFonts w:ascii="Calibri" w:hAnsi="Calibri"/>
                <w:color w:val="2B2B2B"/>
                <w:sz w:val="19"/>
              </w:rPr>
              <w:t>horse</w:t>
            </w:r>
          </w:p>
        </w:tc>
        <w:tc>
          <w:tcPr>
            <w:tcW w:type="dxa" w:w="2016"/>
            <w:shd w:val="clear" w:color="auto" w:fill="F2EFEA"/>
          </w:tcPr>
          <w:p>
            <w:pPr>
              <w:spacing w:before="50" w:after="50"/>
              <w:jc w:val="center"/>
            </w:pPr>
            <w:r>
              <w:rPr>
                <w:rFonts w:ascii="Calibri" w:hAnsi="Calibri"/>
                <w:color w:val="2B2B2B"/>
                <w:sz w:val="19"/>
              </w:rPr>
              <w:t>0.9950</w:t>
            </w:r>
          </w:p>
        </w:tc>
        <w:tc>
          <w:tcPr>
            <w:tcW w:type="dxa" w:w="2016"/>
            <w:shd w:val="clear" w:color="auto" w:fill="F2EFEA"/>
          </w:tcPr>
          <w:p>
            <w:pPr>
              <w:spacing w:before="50" w:after="50"/>
              <w:jc w:val="center"/>
            </w:pPr>
            <w:r>
              <w:rPr>
                <w:rFonts w:ascii="Calibri" w:hAnsi="Calibri"/>
                <w:color w:val="2B2B2B"/>
                <w:sz w:val="19"/>
              </w:rPr>
              <w:t>0.9950</w:t>
            </w:r>
          </w:p>
        </w:tc>
        <w:tc>
          <w:tcPr>
            <w:tcW w:type="dxa" w:w="2016"/>
            <w:shd w:val="clear" w:color="auto" w:fill="F2EFEA"/>
          </w:tcPr>
          <w:p>
            <w:pPr>
              <w:spacing w:before="50" w:after="50"/>
              <w:jc w:val="center"/>
            </w:pPr>
            <w:r>
              <w:rPr>
                <w:rFonts w:ascii="Calibri" w:hAnsi="Calibri"/>
                <w:color w:val="2B2B2B"/>
                <w:sz w:val="19"/>
              </w:rPr>
              <w:t>0.9950</w:t>
            </w:r>
          </w:p>
        </w:tc>
        <w:tc>
          <w:tcPr>
            <w:tcW w:type="dxa" w:w="2016"/>
            <w:shd w:val="clear" w:color="auto" w:fill="F2EFEA"/>
          </w:tcPr>
          <w:p>
            <w:pPr>
              <w:spacing w:before="50" w:after="50"/>
              <w:jc w:val="center"/>
            </w:pPr>
            <w:r>
              <w:rPr>
                <w:rFonts w:ascii="Calibri" w:hAnsi="Calibri"/>
                <w:color w:val="2B2B2B"/>
                <w:sz w:val="19"/>
              </w:rPr>
              <w:t>1000</w:t>
            </w:r>
          </w:p>
        </w:tc>
      </w:tr>
      <w:tr>
        <w:tc>
          <w:tcPr>
            <w:tcW w:type="dxa" w:w="2016"/>
          </w:tcPr>
          <w:p>
            <w:pPr>
              <w:spacing w:before="50" w:after="50"/>
              <w:jc w:val="left"/>
            </w:pPr>
            <w:r>
              <w:rPr>
                <w:rFonts w:ascii="Calibri" w:hAnsi="Calibri"/>
                <w:color w:val="2B2B2B"/>
                <w:sz w:val="19"/>
              </w:rPr>
              <w:t>ship</w:t>
            </w:r>
          </w:p>
        </w:tc>
        <w:tc>
          <w:tcPr>
            <w:tcW w:type="dxa" w:w="2016"/>
          </w:tcPr>
          <w:p>
            <w:pPr>
              <w:spacing w:before="50" w:after="50"/>
              <w:jc w:val="center"/>
            </w:pPr>
            <w:r>
              <w:rPr>
                <w:rFonts w:ascii="Calibri" w:hAnsi="Calibri"/>
                <w:color w:val="2B2B2B"/>
                <w:sz w:val="19"/>
              </w:rPr>
              <w:t>0.9881</w:t>
            </w:r>
          </w:p>
        </w:tc>
        <w:tc>
          <w:tcPr>
            <w:tcW w:type="dxa" w:w="2016"/>
          </w:tcPr>
          <w:p>
            <w:pPr>
              <w:spacing w:before="50" w:after="50"/>
              <w:jc w:val="center"/>
            </w:pPr>
            <w:r>
              <w:rPr>
                <w:rFonts w:ascii="Calibri" w:hAnsi="Calibri"/>
                <w:color w:val="2B2B2B"/>
                <w:sz w:val="19"/>
              </w:rPr>
              <w:t>0.9960</w:t>
            </w:r>
          </w:p>
        </w:tc>
        <w:tc>
          <w:tcPr>
            <w:tcW w:type="dxa" w:w="2016"/>
          </w:tcPr>
          <w:p>
            <w:pPr>
              <w:spacing w:before="50" w:after="50"/>
              <w:jc w:val="center"/>
            </w:pPr>
            <w:r>
              <w:rPr>
                <w:rFonts w:ascii="Calibri" w:hAnsi="Calibri"/>
                <w:color w:val="2B2B2B"/>
                <w:sz w:val="19"/>
              </w:rPr>
              <w:t>0.9920</w:t>
            </w:r>
          </w:p>
        </w:tc>
        <w:tc>
          <w:tcPr>
            <w:tcW w:type="dxa" w:w="2016"/>
          </w:tcPr>
          <w:p>
            <w:pPr>
              <w:spacing w:before="50" w:after="50"/>
              <w:jc w:val="center"/>
            </w:pPr>
            <w:r>
              <w:rPr>
                <w:rFonts w:ascii="Calibri" w:hAnsi="Calibri"/>
                <w:color w:val="2B2B2B"/>
                <w:sz w:val="19"/>
              </w:rPr>
              <w:t>1000</w:t>
            </w:r>
          </w:p>
        </w:tc>
      </w:tr>
      <w:tr>
        <w:tc>
          <w:tcPr>
            <w:tcW w:type="dxa" w:w="2016"/>
            <w:shd w:val="clear" w:color="auto" w:fill="F2EFEA"/>
          </w:tcPr>
          <w:p>
            <w:pPr>
              <w:spacing w:before="50" w:after="50"/>
              <w:jc w:val="left"/>
            </w:pPr>
            <w:r>
              <w:rPr>
                <w:rFonts w:ascii="Calibri" w:hAnsi="Calibri"/>
                <w:color w:val="2B2B2B"/>
                <w:sz w:val="19"/>
              </w:rPr>
              <w:t>truck</w:t>
            </w:r>
          </w:p>
        </w:tc>
        <w:tc>
          <w:tcPr>
            <w:tcW w:type="dxa" w:w="2016"/>
            <w:shd w:val="clear" w:color="auto" w:fill="F2EFEA"/>
          </w:tcPr>
          <w:p>
            <w:pPr>
              <w:spacing w:before="50" w:after="50"/>
              <w:jc w:val="center"/>
            </w:pPr>
            <w:r>
              <w:rPr>
                <w:rFonts w:ascii="Calibri" w:hAnsi="Calibri"/>
                <w:color w:val="2B2B2B"/>
                <w:sz w:val="19"/>
              </w:rPr>
              <w:t>0.9849</w:t>
            </w:r>
          </w:p>
        </w:tc>
        <w:tc>
          <w:tcPr>
            <w:tcW w:type="dxa" w:w="2016"/>
            <w:shd w:val="clear" w:color="auto" w:fill="F2EFEA"/>
          </w:tcPr>
          <w:p>
            <w:pPr>
              <w:spacing w:before="50" w:after="50"/>
              <w:jc w:val="center"/>
            </w:pPr>
            <w:r>
              <w:rPr>
                <w:rFonts w:ascii="Calibri" w:hAnsi="Calibri"/>
                <w:color w:val="2B2B2B"/>
                <w:sz w:val="19"/>
              </w:rPr>
              <w:t>0.9810</w:t>
            </w:r>
          </w:p>
        </w:tc>
        <w:tc>
          <w:tcPr>
            <w:tcW w:type="dxa" w:w="2016"/>
            <w:shd w:val="clear" w:color="auto" w:fill="F2EFEA"/>
          </w:tcPr>
          <w:p>
            <w:pPr>
              <w:spacing w:before="50" w:after="50"/>
              <w:jc w:val="center"/>
            </w:pPr>
            <w:r>
              <w:rPr>
                <w:rFonts w:ascii="Calibri" w:hAnsi="Calibri"/>
                <w:color w:val="2B2B2B"/>
                <w:sz w:val="19"/>
              </w:rPr>
              <w:t>0.9830</w:t>
            </w:r>
          </w:p>
        </w:tc>
        <w:tc>
          <w:tcPr>
            <w:tcW w:type="dxa" w:w="2016"/>
            <w:shd w:val="clear" w:color="auto" w:fill="F2EFEA"/>
          </w:tcPr>
          <w:p>
            <w:pPr>
              <w:spacing w:before="50" w:after="50"/>
              <w:jc w:val="center"/>
            </w:pPr>
            <w:r>
              <w:rPr>
                <w:rFonts w:ascii="Calibri" w:hAnsi="Calibri"/>
                <w:color w:val="2B2B2B"/>
                <w:sz w:val="19"/>
              </w:rPr>
              <w:t>1000</w:t>
            </w:r>
          </w:p>
        </w:tc>
      </w:tr>
      <w:tr>
        <w:tc>
          <w:tcPr>
            <w:tcW w:type="dxa" w:w="2016"/>
          </w:tcPr>
          <w:p>
            <w:pPr>
              <w:spacing w:before="50" w:after="50"/>
              <w:jc w:val="left"/>
            </w:pPr>
            <w:r>
              <w:rPr>
                <w:rFonts w:ascii="Calibri" w:hAnsi="Calibri"/>
                <w:b/>
                <w:color w:val="2B2B2B"/>
                <w:sz w:val="19"/>
              </w:rPr>
              <w:t>Accuracy</w:t>
            </w:r>
          </w:p>
        </w:tc>
        <w:tc>
          <w:tcPr>
            <w:tcW w:type="dxa" w:w="2016"/>
          </w:tcPr>
          <w:p>
            <w:pPr>
              <w:spacing w:before="50" w:after="50"/>
              <w:jc w:val="center"/>
            </w:pPr>
            <w:r>
              <w:rPr>
                <w:rFonts w:ascii="Calibri" w:hAnsi="Calibri"/>
                <w:b/>
                <w:color w:val="2B2B2B"/>
                <w:sz w:val="19"/>
              </w:rPr>
            </w:r>
          </w:p>
        </w:tc>
        <w:tc>
          <w:tcPr>
            <w:tcW w:type="dxa" w:w="2016"/>
          </w:tcPr>
          <w:p>
            <w:pPr>
              <w:spacing w:before="50" w:after="50"/>
              <w:jc w:val="center"/>
            </w:pPr>
            <w:r>
              <w:rPr>
                <w:rFonts w:ascii="Calibri" w:hAnsi="Calibri"/>
                <w:b/>
                <w:color w:val="2B2B2B"/>
                <w:sz w:val="19"/>
              </w:rPr>
            </w:r>
          </w:p>
        </w:tc>
        <w:tc>
          <w:tcPr>
            <w:tcW w:type="dxa" w:w="2016"/>
          </w:tcPr>
          <w:p>
            <w:pPr>
              <w:spacing w:before="50" w:after="50"/>
              <w:jc w:val="center"/>
            </w:pPr>
            <w:r>
              <w:rPr>
                <w:rFonts w:ascii="Calibri" w:hAnsi="Calibri"/>
                <w:b/>
                <w:color w:val="2B2B2B"/>
                <w:sz w:val="19"/>
              </w:rPr>
              <w:t>0.9845</w:t>
            </w:r>
          </w:p>
        </w:tc>
        <w:tc>
          <w:tcPr>
            <w:tcW w:type="dxa" w:w="2016"/>
          </w:tcPr>
          <w:p>
            <w:pPr>
              <w:spacing w:before="50" w:after="50"/>
              <w:jc w:val="center"/>
            </w:pPr>
            <w:r>
              <w:rPr>
                <w:rFonts w:ascii="Calibri" w:hAnsi="Calibri"/>
                <w:b/>
                <w:color w:val="2B2B2B"/>
                <w:sz w:val="19"/>
              </w:rPr>
              <w:t>10000</w:t>
            </w:r>
          </w:p>
        </w:tc>
      </w:tr>
      <w:tr>
        <w:tc>
          <w:tcPr>
            <w:tcW w:type="dxa" w:w="2016"/>
            <w:shd w:val="clear" w:color="auto" w:fill="F2EFEA"/>
          </w:tcPr>
          <w:p>
            <w:pPr>
              <w:spacing w:before="50" w:after="50"/>
              <w:jc w:val="left"/>
            </w:pPr>
            <w:r>
              <w:rPr>
                <w:rFonts w:ascii="Calibri" w:hAnsi="Calibri"/>
                <w:b/>
                <w:color w:val="2B2B2B"/>
                <w:sz w:val="19"/>
              </w:rPr>
              <w:t>macro avg</w:t>
            </w:r>
          </w:p>
        </w:tc>
        <w:tc>
          <w:tcPr>
            <w:tcW w:type="dxa" w:w="2016"/>
            <w:shd w:val="clear" w:color="auto" w:fill="F2EFEA"/>
          </w:tcPr>
          <w:p>
            <w:pPr>
              <w:spacing w:before="50" w:after="50"/>
              <w:jc w:val="center"/>
            </w:pPr>
            <w:r>
              <w:rPr>
                <w:rFonts w:ascii="Calibri" w:hAnsi="Calibri"/>
                <w:b/>
                <w:color w:val="2B2B2B"/>
                <w:sz w:val="19"/>
              </w:rPr>
              <w:t>0.9845</w:t>
            </w:r>
          </w:p>
        </w:tc>
        <w:tc>
          <w:tcPr>
            <w:tcW w:type="dxa" w:w="2016"/>
            <w:shd w:val="clear" w:color="auto" w:fill="F2EFEA"/>
          </w:tcPr>
          <w:p>
            <w:pPr>
              <w:spacing w:before="50" w:after="50"/>
              <w:jc w:val="center"/>
            </w:pPr>
            <w:r>
              <w:rPr>
                <w:rFonts w:ascii="Calibri" w:hAnsi="Calibri"/>
                <w:b/>
                <w:color w:val="2B2B2B"/>
                <w:sz w:val="19"/>
              </w:rPr>
              <w:t>0.9845</w:t>
            </w:r>
          </w:p>
        </w:tc>
        <w:tc>
          <w:tcPr>
            <w:tcW w:type="dxa" w:w="2016"/>
            <w:shd w:val="clear" w:color="auto" w:fill="F2EFEA"/>
          </w:tcPr>
          <w:p>
            <w:pPr>
              <w:spacing w:before="50" w:after="50"/>
              <w:jc w:val="center"/>
            </w:pPr>
            <w:r>
              <w:rPr>
                <w:rFonts w:ascii="Calibri" w:hAnsi="Calibri"/>
                <w:b/>
                <w:color w:val="2B2B2B"/>
                <w:sz w:val="19"/>
              </w:rPr>
              <w:t>0.9845</w:t>
            </w:r>
          </w:p>
        </w:tc>
        <w:tc>
          <w:tcPr>
            <w:tcW w:type="dxa" w:w="2016"/>
            <w:shd w:val="clear" w:color="auto" w:fill="F2EFEA"/>
          </w:tcPr>
          <w:p>
            <w:pPr>
              <w:spacing w:before="50" w:after="50"/>
              <w:jc w:val="center"/>
            </w:pPr>
            <w:r>
              <w:rPr>
                <w:rFonts w:ascii="Calibri" w:hAnsi="Calibri"/>
                <w:b/>
                <w:color w:val="2B2B2B"/>
                <w:sz w:val="19"/>
              </w:rPr>
              <w:t>10000</w:t>
            </w:r>
          </w:p>
        </w:tc>
      </w:tr>
      <w:tr>
        <w:tc>
          <w:tcPr>
            <w:tcW w:type="dxa" w:w="2016"/>
          </w:tcPr>
          <w:p>
            <w:pPr>
              <w:spacing w:before="50" w:after="50"/>
              <w:jc w:val="left"/>
            </w:pPr>
            <w:r>
              <w:rPr>
                <w:rFonts w:ascii="Calibri" w:hAnsi="Calibri"/>
                <w:b/>
                <w:color w:val="2B2B2B"/>
                <w:sz w:val="19"/>
              </w:rPr>
              <w:t>weighted avg</w:t>
            </w:r>
          </w:p>
        </w:tc>
        <w:tc>
          <w:tcPr>
            <w:tcW w:type="dxa" w:w="2016"/>
          </w:tcPr>
          <w:p>
            <w:pPr>
              <w:spacing w:before="50" w:after="50"/>
              <w:jc w:val="center"/>
            </w:pPr>
            <w:r>
              <w:rPr>
                <w:rFonts w:ascii="Calibri" w:hAnsi="Calibri"/>
                <w:b/>
                <w:color w:val="2B2B2B"/>
                <w:sz w:val="19"/>
              </w:rPr>
              <w:t>0.9845</w:t>
            </w:r>
          </w:p>
        </w:tc>
        <w:tc>
          <w:tcPr>
            <w:tcW w:type="dxa" w:w="2016"/>
          </w:tcPr>
          <w:p>
            <w:pPr>
              <w:spacing w:before="50" w:after="50"/>
              <w:jc w:val="center"/>
            </w:pPr>
            <w:r>
              <w:rPr>
                <w:rFonts w:ascii="Calibri" w:hAnsi="Calibri"/>
                <w:b/>
                <w:color w:val="2B2B2B"/>
                <w:sz w:val="19"/>
              </w:rPr>
              <w:t>0.9845</w:t>
            </w:r>
          </w:p>
        </w:tc>
        <w:tc>
          <w:tcPr>
            <w:tcW w:type="dxa" w:w="2016"/>
          </w:tcPr>
          <w:p>
            <w:pPr>
              <w:spacing w:before="50" w:after="50"/>
              <w:jc w:val="center"/>
            </w:pPr>
            <w:r>
              <w:rPr>
                <w:rFonts w:ascii="Calibri" w:hAnsi="Calibri"/>
                <w:b/>
                <w:color w:val="2B2B2B"/>
                <w:sz w:val="19"/>
              </w:rPr>
              <w:t>0.9845</w:t>
            </w:r>
          </w:p>
        </w:tc>
        <w:tc>
          <w:tcPr>
            <w:tcW w:type="dxa" w:w="2016"/>
          </w:tcPr>
          <w:p>
            <w:pPr>
              <w:spacing w:before="50" w:after="50"/>
              <w:jc w:val="center"/>
            </w:pPr>
            <w:r>
              <w:rPr>
                <w:rFonts w:ascii="Calibri" w:hAnsi="Calibri"/>
                <w:b/>
                <w:color w:val="2B2B2B"/>
                <w:sz w:val="19"/>
              </w:rPr>
              <w:t>10000</w:t>
            </w:r>
          </w:p>
        </w:tc>
      </w:tr>
    </w:tbl>
    <w:p>
      <w:pPr>
        <w:spacing w:before="0" w:after="80"/>
      </w:pPr>
    </w:p>
    <w:p>
      <w:pPr>
        <w:keepNext/>
        <w:spacing w:before="280" w:after="80"/>
      </w:pPr>
      <w:r>
        <w:rPr>
          <w:rFonts w:ascii="Calibri" w:hAnsi="Calibri"/>
          <w:b/>
          <w:color w:val="3B2A20"/>
          <w:sz w:val="32"/>
        </w:rPr>
        <w:t>9. Test Predictions — Visual Comparison</w:t>
      </w:r>
    </w:p>
    <w:p>
      <w:pPr>
        <w:spacing w:before="0" w:after="80" w:line="276" w:lineRule="auto"/>
      </w:pPr>
      <w:r>
        <w:rPr>
          <w:rFonts w:ascii="Calibri" w:hAnsi="Calibri"/>
          <w:color w:val="2B2B2B"/>
          <w:sz w:val="22"/>
        </w:rPr>
        <w:t>To qualitatively inspect predictive confidence and error modes, test images from different classes were evaluated across both models. The figure below illustrates predictions alongside true ground-truth labels:</w:t>
      </w:r>
    </w:p>
    <w:p>
      <w:pPr>
        <w:spacing w:before="120" w:after="40"/>
        <w:jc w:val="center"/>
      </w:pPr>
      <w:r>
        <w:drawing>
          <wp:inline xmlns:a="http://schemas.openxmlformats.org/drawingml/2006/main" xmlns:pic="http://schemas.openxmlformats.org/drawingml/2006/picture">
            <wp:extent cx="5303520" cy="2982037"/>
            <wp:docPr id="6" name="Picture 6"/>
            <wp:cNvGraphicFramePr>
              <a:graphicFrameLocks noChangeAspect="1"/>
            </wp:cNvGraphicFramePr>
            <a:graphic>
              <a:graphicData uri="http://schemas.openxmlformats.org/drawingml/2006/picture">
                <pic:pic>
                  <pic:nvPicPr>
                    <pic:cNvPr id="0" name="cell_25_out_0.png"/>
                    <pic:cNvPicPr/>
                  </pic:nvPicPr>
                  <pic:blipFill>
                    <a:blip r:embed="rId15"/>
                    <a:stretch>
                      <a:fillRect/>
                    </a:stretch>
                  </pic:blipFill>
                  <pic:spPr>
                    <a:xfrm>
                      <a:off x="0" y="0"/>
                      <a:ext cx="5303520" cy="2982037"/>
                    </a:xfrm>
                    <a:prstGeom prst="rect"/>
                  </pic:spPr>
                </pic:pic>
              </a:graphicData>
            </a:graphic>
          </wp:inline>
        </w:drawing>
      </w:r>
    </w:p>
    <w:p>
      <w:pPr>
        <w:spacing w:before="40" w:after="160"/>
        <w:jc w:val="center"/>
      </w:pPr>
      <w:r>
        <w:rPr>
          <w:rFonts w:ascii="Calibri" w:hAnsi="Calibri"/>
          <w:i/>
          <w:color w:val="6E6E6E"/>
          <w:sz w:val="20"/>
        </w:rPr>
        <w:t>Figure 6: Qualitative comparison of CNN and ViT predictions against ground-truth labels on test samples.</w:t>
      </w:r>
    </w:p>
    <w:p>
      <w:pPr>
        <w:spacing w:before="0" w:after="80" w:line="276" w:lineRule="auto"/>
      </w:pPr>
      <w:r>
        <w:rPr>
          <w:rFonts w:ascii="Calibri" w:hAnsi="Calibri"/>
          <w:color w:val="2B2B2B"/>
          <w:sz w:val="22"/>
        </w:rPr>
        <w:t>The visual comparison highlights scenarios where subtle background textures or low pixel resolutions caused the CNN to misclassify (e.g., confusing low-contrast dogs with cats or horses), whereas the Vision Transformer's self-attention captured holistic context and made robust, accurate predictions.</w:t>
      </w:r>
    </w:p>
    <w:p>
      <w:pPr>
        <w:keepNext/>
        <w:spacing w:before="280" w:after="80"/>
      </w:pPr>
      <w:r>
        <w:rPr>
          <w:rFonts w:ascii="Calibri" w:hAnsi="Calibri"/>
          <w:b/>
          <w:color w:val="3B2A20"/>
          <w:sz w:val="32"/>
        </w:rPr>
        <w:t>10. Conclusion</w:t>
      </w:r>
    </w:p>
    <w:p>
      <w:pPr>
        <w:spacing w:before="0" w:after="80" w:line="276" w:lineRule="auto"/>
      </w:pPr>
      <w:r>
        <w:rPr>
          <w:rFonts w:ascii="Calibri" w:hAnsi="Calibri"/>
          <w:color w:val="2B2B2B"/>
          <w:sz w:val="22"/>
        </w:rPr>
        <w:t>This experimental investigation established a comprehensive empirical comparison between a custom CNN trained from scratch and a pretrained Vision Transformer fine-tuned on CIFAR-10. The key experimental findings include:</w:t>
      </w:r>
    </w:p>
    <w:p>
      <w:pPr>
        <w:pStyle w:val="ListParagraph"/>
        <w:spacing w:before="0" w:after="60" w:line="276" w:lineRule="auto"/>
      </w:pPr>
      <w:r>
        <w:rPr>
          <w:rFonts w:ascii="Calibri" w:hAnsi="Calibri"/>
          <w:b/>
          <w:color w:val="2B2B2B"/>
          <w:sz w:val="22"/>
        </w:rPr>
        <w:t xml:space="preserve">Accuracy Superiority: </w:t>
      </w:r>
      <w:r>
        <w:rPr>
          <w:rFonts w:ascii="Calibri" w:hAnsi="Calibri"/>
          <w:color w:val="2B2B2B"/>
          <w:sz w:val="22"/>
        </w:rPr>
        <w:t>The Pretrained Vision Transformer delivered near-flawless performance, achieving 98.45% accuracy and an F1-score of 0.9845, vastly outperforming the CNN baseline (70.25% accuracy) by +28.20 percentage points.</w:t>
      </w:r>
    </w:p>
    <w:p>
      <w:pPr>
        <w:pStyle w:val="ListParagraph"/>
        <w:spacing w:before="0" w:after="60" w:line="276" w:lineRule="auto"/>
      </w:pPr>
      <w:r>
        <w:rPr>
          <w:rFonts w:ascii="Calibri" w:hAnsi="Calibri"/>
          <w:b/>
          <w:color w:val="2B2B2B"/>
          <w:sz w:val="22"/>
        </w:rPr>
        <w:t xml:space="preserve">Computational Efficiency: </w:t>
      </w:r>
      <w:r>
        <w:rPr>
          <w:rFonts w:ascii="Calibri" w:hAnsi="Calibri"/>
          <w:color w:val="2B2B2B"/>
          <w:sz w:val="22"/>
        </w:rPr>
        <w:t>The CNN trained in just 1.53 minutes (91.8 s) compared to 18.61 minutes for ViT, demonstrating the computational efficiency of convolutional inductive bias on low-resolution imagery.</w:t>
      </w:r>
    </w:p>
    <w:p>
      <w:pPr>
        <w:pStyle w:val="ListParagraph"/>
        <w:spacing w:before="0" w:after="60" w:line="276" w:lineRule="auto"/>
      </w:pPr>
      <w:r>
        <w:rPr>
          <w:rFonts w:ascii="Calibri" w:hAnsi="Calibri"/>
          <w:b/>
          <w:color w:val="2B2B2B"/>
          <w:sz w:val="22"/>
        </w:rPr>
        <w:t xml:space="preserve">Robust Representation: </w:t>
      </w:r>
      <w:r>
        <w:rPr>
          <w:rFonts w:ascii="Calibri" w:hAnsi="Calibri"/>
          <w:color w:val="2B2B2B"/>
          <w:sz w:val="22"/>
        </w:rPr>
        <w:t>ViT exhibited uniform, high precision and recall (&gt;96.4% across all 10 classes), eliminating the fine-grained animal and vehicle confusion that impaired the CNN.</w:t>
      </w:r>
    </w:p>
    <w:p>
      <w:pPr>
        <w:pStyle w:val="ListParagraph"/>
        <w:spacing w:before="0" w:after="60" w:line="276" w:lineRule="auto"/>
      </w:pPr>
      <w:r>
        <w:rPr>
          <w:rFonts w:ascii="Calibri" w:hAnsi="Calibri"/>
          <w:b/>
          <w:color w:val="2B2B2B"/>
          <w:sz w:val="22"/>
        </w:rPr>
        <w:t xml:space="preserve">Architectural Trade-offs: </w:t>
      </w:r>
      <w:r>
        <w:rPr>
          <w:rFonts w:ascii="Calibri" w:hAnsi="Calibri"/>
          <w:color w:val="2B2B2B"/>
          <w:sz w:val="22"/>
        </w:rPr>
        <w:t>For edge and low-power devices with strict latency and memory budgets, lightweight CNNs remain viable; however, for accuracy-critical applications, fine-tuned Vision Transformers represent the state-of-the-art visual recognition paradigm.</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E6E6E"/>
        <w:sz w:val="16"/>
      </w:rPr>
      <w:t xml:space="preserve">Page </w:t>
    </w:r>
    <w:r>
      <w:rPr>
        <w:rFonts w:ascii="Calibri" w:hAnsi="Calibri"/>
        <w:color w:val="6E6E6E"/>
        <w:sz w:val="16"/>
      </w:rPr>
      <w:fldChar w:fldCharType="begin"/>
      <w:instrText>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B2B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