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Times New Roman" w:cs="Times New Roman" w:eastAsia="Times New Roman" w:hAnsi="Times New Roman"/>
          <w:sz w:val="24"/>
          <w:szCs w:val="24"/>
          <w:rtl w:val="0"/>
        </w:rPr>
        <w:t xml:space="preserve">Shadab Chowdhury</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Times New Roman" w:cs="Times New Roman" w:eastAsia="Times New Roman" w:hAnsi="Times New Roman"/>
          <w:sz w:val="24"/>
          <w:szCs w:val="24"/>
          <w:rtl w:val="0"/>
        </w:rPr>
        <w:t xml:space="preserve">CS 499 Computer Science Capstone</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Times New Roman" w:cs="Times New Roman" w:eastAsia="Times New Roman" w:hAnsi="Times New Roman"/>
          <w:sz w:val="24"/>
          <w:szCs w:val="24"/>
          <w:rtl w:val="0"/>
        </w:rPr>
        <w:t xml:space="preserve">Professor Alexander Voitenko</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Times New Roman" w:cs="Times New Roman" w:eastAsia="Times New Roman" w:hAnsi="Times New Roman"/>
          <w:sz w:val="24"/>
          <w:szCs w:val="24"/>
          <w:rtl w:val="0"/>
        </w:rPr>
        <w:t xml:space="preserve">April 15, 2026</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Times New Roman" w:cs="Times New Roman" w:eastAsia="Times New Roman" w:hAnsi="Times New Roman"/>
          <w:b w:val="1"/>
          <w:bCs w:val="1"/>
          <w:sz w:val="24"/>
          <w:szCs w:val="24"/>
          <w:rtl w:val="0"/>
        </w:rPr>
        <w:t xml:space="preserve">Journal: Emerging, Disruptive, and Game-Changing Technologies</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Two disruptive technologies that stand out to me are agentic artificial intelligence and post-quantum cryptography. Agentic AI refers to AI systems that can pursue goals with a degree of autonomy by planning, using tools, and taking multi-step actions rather than only generating a single response. That shift matters because it changes software development from building programs that wait for commands to building systems that can reason through workflows, interact with external services, and require stronger evaluation, monitoring, and security controls. The likely impact on computer science and on my own career is substantial. My background and current interests are in software, platform, and AI-oriented systems, so agentic AI directly connects to the kind of work I want to do: designing systems that are scalable, maintainable, and secure while still being useful in real environments. Post-quantum cryptography is disruptive in a different way because it forces the industry to replace security assumptions that have been trusted for decades. With NIST now having finalized its first post-quantum cryptography standards and encouraging organizations to begin transitioning, the issue is no longer theoretical. Computer scientists and software engineers must start thinking about migration planning, long-term data protection, compatibility, and how security choices made now can affect systems years into the future. Together, these technologies could affect humans, communities, and the world in very different but equally important ways. Agentic AI could improve productivity, responsiveness, and personalization across industries, but it also raises real concerns about misuse, trust, accountability, and the security of systems that can act on a user’s behalf. Post-quantum cryptography may be less visible to everyday users, yet it could become one of the most important background upgrades in digital life because it helps protect banking, healthcare, identity, and government systems against future quantum-era threats.</w:t>
      </w:r>
    </w:p>
    <w:p w:rsidR="00000000" w:rsidDel="00000000" w:rsidP="00000000" w:rsidRDefault="00000000" w:rsidRPr="00000000" w14:paraId="00000007">
      <w:pPr>
        <w:rPr/>
      </w:pPr>
      <w:r w:rsidDel="00000000" w:rsidR="00000000" w:rsidRPr="00000000">
        <w:rPr>
          <w:rtl w:val="0"/>
        </w:rPr>
        <w:t xml:space="preserve">Looking at the course outcomes, I believe I have made the strongest progress on the outcomes tied to software design, algorithmic thinking, and professional communication. My software design and engineering enhancement of the CS 330 OpenGL 3D Scene helped me demonstrate how refactoring, modularity, and clearer separation of responsibilities can improve maintainability without changing the project’s core purpose. My algorithms and data structures enhancement pushed me to think more carefully about hierarchy, traversal, and performance trade-offs through scene graph organization and frustum-culling concepts. My databases artifact, the CS 340 Grazioso Salvare dashboard supported by a reusable CRUD module, helped me show how database access, application structure, and secure design choices fit together in a usable system. The outcomes that still remain for me are less about selecting artifacts and more about polishing presentation: tightening the final ePortfolio language, making sure each narrative clearly explains the difference between the original artifact and the enhanced version, and ensuring that the portfolio reads as one coherent story about my growth as a computer science professional. At this point, the work feels less like a set of class assignments and more like evidence of the kind of developer I am becoming. The status table below reflects that progress across software design and engineering, algorithms and data structures, and databases.</w:t>
      </w:r>
    </w:p>
    <w:p w:rsidR="00000000" w:rsidDel="00000000" w:rsidP="00000000" w:rsidRDefault="00000000" w:rsidRPr="00000000" w14:paraId="00000008">
      <w:pPr>
        <w:rPr/>
      </w:pPr>
      <w:r w:rsidDel="00000000" w:rsidR="00000000" w:rsidRPr="00000000">
        <w:rPr>
          <w:rtl w:val="0"/>
        </w:rPr>
      </w:r>
    </w:p>
    <w:tbl>
      <w:tblPr>
        <w:tblStyle w:val="Table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tcMar>
              <w:top w:w="90.0" w:type="dxa"/>
              <w:bottom w:w="90.0" w:type="dxa"/>
            </w:tcMar>
            <w:vAlign w:val="center"/>
          </w:tcPr>
          <w:p w:rsidR="00000000" w:rsidDel="00000000" w:rsidP="00000000" w:rsidRDefault="00000000" w:rsidRPr="00000000" w14:paraId="00000009">
            <w:pPr>
              <w:jc w:val="center"/>
              <w:rPr/>
            </w:pPr>
            <w:r w:rsidDel="00000000" w:rsidR="00000000" w:rsidRPr="00000000">
              <w:rPr>
                <w:b w:val="1"/>
                <w:bCs w:val="1"/>
                <w:rtl w:val="0"/>
              </w:rPr>
              <w:t xml:space="preserve">Checkpoint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0A">
            <w:pPr>
              <w:jc w:val="center"/>
              <w:rPr/>
            </w:pPr>
            <w:r w:rsidDel="00000000" w:rsidR="00000000" w:rsidRPr="00000000">
              <w:rPr>
                <w:b w:val="1"/>
                <w:bCs w:val="1"/>
                <w:rtl w:val="0"/>
              </w:rPr>
              <w:t xml:space="preserve">Software Design and Engineering</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0B">
            <w:pPr>
              <w:jc w:val="center"/>
              <w:rPr/>
            </w:pPr>
            <w:r w:rsidDel="00000000" w:rsidR="00000000" w:rsidRPr="00000000">
              <w:rPr>
                <w:b w:val="1"/>
                <w:bCs w:val="1"/>
                <w:rtl w:val="0"/>
              </w:rPr>
              <w:t xml:space="preserve">Algorithms and Data Structures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0C">
            <w:pPr>
              <w:jc w:val="center"/>
              <w:rPr/>
            </w:pPr>
            <w:r w:rsidDel="00000000" w:rsidR="00000000" w:rsidRPr="00000000">
              <w:rPr>
                <w:b w:val="1"/>
                <w:bCs w:val="1"/>
                <w:rtl w:val="0"/>
              </w:rPr>
              <w:t xml:space="preserve">Databases</w:t>
            </w:r>
            <w:r w:rsidDel="00000000" w:rsidR="00000000" w:rsidRPr="00000000">
              <w:rPr>
                <w:rtl w:val="0"/>
              </w:rPr>
            </w:r>
          </w:p>
        </w:tc>
      </w:tr>
      <w:tr>
        <w:trPr>
          <w:cantSplit w:val="0"/>
          <w:tblHeader w:val="0"/>
        </w:trPr>
        <w:tc>
          <w:tcPr>
            <w:tcMar>
              <w:top w:w="110.0" w:type="dxa"/>
              <w:bottom w:w="110.0" w:type="dxa"/>
            </w:tcMar>
            <w:vAlign w:val="center"/>
          </w:tcPr>
          <w:p w:rsidR="00000000" w:rsidDel="00000000" w:rsidP="00000000" w:rsidRDefault="00000000" w:rsidRPr="00000000" w14:paraId="0000000D">
            <w:pPr>
              <w:jc w:val="center"/>
              <w:rPr/>
            </w:pPr>
            <w:r w:rsidDel="00000000" w:rsidR="00000000" w:rsidRPr="00000000">
              <w:rPr>
                <w:b w:val="1"/>
                <w:bCs w:val="1"/>
                <w:rtl w:val="0"/>
              </w:rPr>
              <w:t xml:space="preserve">Name of Artifact Used</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0E">
            <w:pPr>
              <w:jc w:val="left"/>
              <w:rPr/>
            </w:pPr>
            <w:r w:rsidDel="00000000" w:rsidR="00000000" w:rsidRPr="00000000">
              <w:rPr>
                <w:rtl w:val="0"/>
              </w:rPr>
              <w:t xml:space="preserve">CS 330 OpenGL 3D Scene</w:t>
            </w:r>
          </w:p>
        </w:tc>
        <w:tc>
          <w:tcPr>
            <w:tcMar>
              <w:top w:w="110.0" w:type="dxa"/>
              <w:bottom w:w="110.0" w:type="dxa"/>
            </w:tcMar>
            <w:vAlign w:val="center"/>
          </w:tcPr>
          <w:p w:rsidR="00000000" w:rsidDel="00000000" w:rsidP="00000000" w:rsidRDefault="00000000" w:rsidRPr="00000000" w14:paraId="0000000F">
            <w:pPr>
              <w:jc w:val="left"/>
              <w:rPr/>
            </w:pPr>
            <w:r w:rsidDel="00000000" w:rsidR="00000000" w:rsidRPr="00000000">
              <w:rPr>
                <w:rtl w:val="0"/>
              </w:rPr>
              <w:t xml:space="preserve">CS 330 OpenGL 3D Scene</w:t>
            </w:r>
          </w:p>
        </w:tc>
        <w:tc>
          <w:tcPr>
            <w:tcMar>
              <w:top w:w="110.0" w:type="dxa"/>
              <w:bottom w:w="110.0" w:type="dxa"/>
            </w:tcMar>
            <w:vAlign w:val="center"/>
          </w:tcPr>
          <w:p w:rsidR="00000000" w:rsidDel="00000000" w:rsidP="00000000" w:rsidRDefault="00000000" w:rsidRPr="00000000" w14:paraId="00000010">
            <w:pPr>
              <w:jc w:val="left"/>
              <w:rPr/>
            </w:pPr>
            <w:r w:rsidDel="00000000" w:rsidR="00000000" w:rsidRPr="00000000">
              <w:rPr>
                <w:rtl w:val="0"/>
              </w:rPr>
              <w:t xml:space="preserve">CS 340 Grazioso Salvare Rescue Candidate Dashboard with the reusable Python CRUD module</w:t>
            </w:r>
          </w:p>
        </w:tc>
      </w:tr>
      <w:tr>
        <w:trPr>
          <w:cantSplit w:val="0"/>
          <w:tblHeader w:val="0"/>
        </w:trPr>
        <w:tc>
          <w:tcPr>
            <w:tcMar>
              <w:top w:w="110.0" w:type="dxa"/>
              <w:bottom w:w="110.0" w:type="dxa"/>
            </w:tcMar>
            <w:vAlign w:val="center"/>
          </w:tcPr>
          <w:p w:rsidR="00000000" w:rsidDel="00000000" w:rsidP="00000000" w:rsidRDefault="00000000" w:rsidRPr="00000000" w14:paraId="00000011">
            <w:pPr>
              <w:jc w:val="center"/>
              <w:rPr/>
            </w:pPr>
            <w:r w:rsidDel="00000000" w:rsidR="00000000" w:rsidRPr="00000000">
              <w:rPr>
                <w:b w:val="1"/>
                <w:bCs w:val="1"/>
                <w:rtl w:val="0"/>
              </w:rPr>
              <w:t xml:space="preserve">Status of Initial Enhancement</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12">
            <w:pPr>
              <w:jc w:val="left"/>
              <w:rPr/>
            </w:pPr>
            <w:r w:rsidDel="00000000" w:rsidR="00000000" w:rsidRPr="00000000">
              <w:rPr>
                <w:rtl w:val="0"/>
              </w:rPr>
              <w:t xml:space="preserve">Completed. Refactored repeated rendering logic, improved modularity, and reorganized the code into clearer responsibilities.</w:t>
            </w:r>
          </w:p>
        </w:tc>
        <w:tc>
          <w:tcPr>
            <w:tcMar>
              <w:top w:w="110.0" w:type="dxa"/>
              <w:bottom w:w="110.0" w:type="dxa"/>
            </w:tcMar>
            <w:vAlign w:val="center"/>
          </w:tcPr>
          <w:p w:rsidR="00000000" w:rsidDel="00000000" w:rsidP="00000000" w:rsidRDefault="00000000" w:rsidRPr="00000000" w14:paraId="00000013">
            <w:pPr>
              <w:jc w:val="left"/>
              <w:rPr/>
            </w:pPr>
            <w:r w:rsidDel="00000000" w:rsidR="00000000" w:rsidRPr="00000000">
              <w:rPr>
                <w:rtl w:val="0"/>
              </w:rPr>
              <w:t xml:space="preserve">Completed. Added stronger algorithmic focus through scene graph structure, traversal logic, and frustum-culling concepts.</w:t>
            </w:r>
          </w:p>
        </w:tc>
        <w:tc>
          <w:tcPr>
            <w:tcMar>
              <w:top w:w="110.0" w:type="dxa"/>
              <w:bottom w:w="110.0" w:type="dxa"/>
            </w:tcMar>
            <w:vAlign w:val="center"/>
          </w:tcPr>
          <w:p w:rsidR="00000000" w:rsidDel="00000000" w:rsidP="00000000" w:rsidRDefault="00000000" w:rsidRPr="00000000" w14:paraId="00000014">
            <w:pPr>
              <w:jc w:val="left"/>
              <w:rPr/>
            </w:pPr>
            <w:r w:rsidDel="00000000" w:rsidR="00000000" w:rsidRPr="00000000">
              <w:rPr>
                <w:rtl w:val="0"/>
              </w:rPr>
              <w:t xml:space="preserve">Completed. Strengthened the CRUD layer, improved connection handling, and clarified the relationship between the dashboard and the database layer.</w:t>
            </w:r>
          </w:p>
        </w:tc>
      </w:tr>
      <w:tr>
        <w:trPr>
          <w:cantSplit w:val="0"/>
          <w:tblHeader w:val="0"/>
        </w:trPr>
        <w:tc>
          <w:tcPr>
            <w:tcMar>
              <w:top w:w="110.0" w:type="dxa"/>
              <w:bottom w:w="110.0" w:type="dxa"/>
            </w:tcMar>
            <w:vAlign w:val="center"/>
          </w:tcPr>
          <w:p w:rsidR="00000000" w:rsidDel="00000000" w:rsidP="00000000" w:rsidRDefault="00000000" w:rsidRPr="00000000" w14:paraId="00000015">
            <w:pPr>
              <w:jc w:val="center"/>
              <w:rPr/>
            </w:pPr>
            <w:r w:rsidDel="00000000" w:rsidR="00000000" w:rsidRPr="00000000">
              <w:rPr>
                <w:b w:val="1"/>
                <w:bCs w:val="1"/>
                <w:rtl w:val="0"/>
              </w:rPr>
              <w:t xml:space="preserve">Submission Status</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16">
            <w:pPr>
              <w:jc w:val="left"/>
              <w:rPr/>
            </w:pPr>
            <w:r w:rsidDel="00000000" w:rsidR="00000000" w:rsidRPr="00000000">
              <w:rPr>
                <w:rtl w:val="0"/>
              </w:rPr>
              <w:t xml:space="preserve">Submitted</w:t>
            </w:r>
          </w:p>
        </w:tc>
        <w:tc>
          <w:tcPr>
            <w:tcMar>
              <w:top w:w="110.0" w:type="dxa"/>
              <w:bottom w:w="110.0" w:type="dxa"/>
            </w:tcMar>
            <w:vAlign w:val="center"/>
          </w:tcPr>
          <w:p w:rsidR="00000000" w:rsidDel="00000000" w:rsidP="00000000" w:rsidRDefault="00000000" w:rsidRPr="00000000" w14:paraId="00000017">
            <w:pPr>
              <w:jc w:val="left"/>
              <w:rPr/>
            </w:pPr>
            <w:r w:rsidDel="00000000" w:rsidR="00000000" w:rsidRPr="00000000">
              <w:rPr>
                <w:rtl w:val="0"/>
              </w:rPr>
              <w:t xml:space="preserve">Submitted</w:t>
            </w:r>
          </w:p>
        </w:tc>
        <w:tc>
          <w:tcPr>
            <w:tcMar>
              <w:top w:w="110.0" w:type="dxa"/>
              <w:bottom w:w="110.0" w:type="dxa"/>
            </w:tcMar>
            <w:vAlign w:val="center"/>
          </w:tcPr>
          <w:p w:rsidR="00000000" w:rsidDel="00000000" w:rsidP="00000000" w:rsidRDefault="00000000" w:rsidRPr="00000000" w14:paraId="00000018">
            <w:pPr>
              <w:jc w:val="left"/>
              <w:rPr/>
            </w:pPr>
            <w:r w:rsidDel="00000000" w:rsidR="00000000" w:rsidRPr="00000000">
              <w:rPr>
                <w:rtl w:val="0"/>
              </w:rPr>
              <w:t xml:space="preserve">Submitted</w:t>
            </w:r>
          </w:p>
        </w:tc>
      </w:tr>
      <w:tr>
        <w:trPr>
          <w:cantSplit w:val="0"/>
          <w:tblHeader w:val="0"/>
        </w:trPr>
        <w:tc>
          <w:tcPr>
            <w:tcMar>
              <w:top w:w="110.0" w:type="dxa"/>
              <w:bottom w:w="110.0" w:type="dxa"/>
            </w:tcMar>
            <w:vAlign w:val="center"/>
          </w:tcPr>
          <w:p w:rsidR="00000000" w:rsidDel="00000000" w:rsidP="00000000" w:rsidRDefault="00000000" w:rsidRPr="00000000" w14:paraId="00000019">
            <w:pPr>
              <w:jc w:val="center"/>
              <w:rPr/>
            </w:pPr>
            <w:r w:rsidDel="00000000" w:rsidR="00000000" w:rsidRPr="00000000">
              <w:rPr>
                <w:b w:val="1"/>
                <w:bCs w:val="1"/>
                <w:rtl w:val="0"/>
              </w:rPr>
              <w:t xml:space="preserve">Status of Final Enhancement</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1A">
            <w:pPr>
              <w:jc w:val="left"/>
              <w:rPr/>
            </w:pPr>
            <w:r w:rsidDel="00000000" w:rsidR="00000000" w:rsidRPr="00000000">
              <w:rPr>
                <w:rtl w:val="0"/>
              </w:rPr>
              <w:t xml:space="preserve">Complete, with final narrative polishing still in progress for the ePortfolio presentation.</w:t>
            </w:r>
          </w:p>
        </w:tc>
        <w:tc>
          <w:tcPr>
            <w:tcMar>
              <w:top w:w="110.0" w:type="dxa"/>
              <w:bottom w:w="110.0" w:type="dxa"/>
            </w:tcMar>
            <w:vAlign w:val="center"/>
          </w:tcPr>
          <w:p w:rsidR="00000000" w:rsidDel="00000000" w:rsidP="00000000" w:rsidRDefault="00000000" w:rsidRPr="00000000" w14:paraId="0000001B">
            <w:pPr>
              <w:jc w:val="left"/>
              <w:rPr/>
            </w:pPr>
            <w:r w:rsidDel="00000000" w:rsidR="00000000" w:rsidRPr="00000000">
              <w:rPr>
                <w:rtl w:val="0"/>
              </w:rPr>
              <w:t xml:space="preserve">Complete, with final narrative polishing still in progress for the ePortfolio presentation.</w:t>
            </w:r>
          </w:p>
        </w:tc>
        <w:tc>
          <w:tcPr>
            <w:tcMar>
              <w:top w:w="110.0" w:type="dxa"/>
              <w:bottom w:w="110.0" w:type="dxa"/>
            </w:tcMar>
            <w:vAlign w:val="center"/>
          </w:tcPr>
          <w:p w:rsidR="00000000" w:rsidDel="00000000" w:rsidP="00000000" w:rsidRDefault="00000000" w:rsidRPr="00000000" w14:paraId="0000001C">
            <w:pPr>
              <w:jc w:val="left"/>
              <w:rPr/>
            </w:pPr>
            <w:r w:rsidDel="00000000" w:rsidR="00000000" w:rsidRPr="00000000">
              <w:rPr>
                <w:rtl w:val="0"/>
              </w:rPr>
              <w:t xml:space="preserve">Complete, with final narrative polishing still in progress for the ePortfolio presentation.</w:t>
            </w:r>
          </w:p>
        </w:tc>
      </w:tr>
      <w:tr>
        <w:trPr>
          <w:cantSplit w:val="0"/>
          <w:tblHeader w:val="0"/>
        </w:trPr>
        <w:tc>
          <w:tcPr>
            <w:tcMar>
              <w:top w:w="110.0" w:type="dxa"/>
              <w:bottom w:w="110.0" w:type="dxa"/>
            </w:tcMar>
            <w:vAlign w:val="center"/>
          </w:tcPr>
          <w:p w:rsidR="00000000" w:rsidDel="00000000" w:rsidP="00000000" w:rsidRDefault="00000000" w:rsidRPr="00000000" w14:paraId="0000001D">
            <w:pPr>
              <w:jc w:val="center"/>
              <w:rPr/>
            </w:pPr>
            <w:r w:rsidDel="00000000" w:rsidR="00000000" w:rsidRPr="00000000">
              <w:rPr>
                <w:b w:val="1"/>
                <w:bCs w:val="1"/>
                <w:rtl w:val="0"/>
              </w:rPr>
              <w:t xml:space="preserve">Uploaded to ePortfolio</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1E">
            <w:pPr>
              <w:jc w:val="left"/>
              <w:rPr/>
            </w:pPr>
            <w:r w:rsidDel="00000000" w:rsidR="00000000" w:rsidRPr="00000000">
              <w:rPr>
                <w:rtl w:val="0"/>
              </w:rPr>
              <w:t xml:space="preserve">Yes, draft materials uploaded</w:t>
            </w:r>
          </w:p>
        </w:tc>
        <w:tc>
          <w:tcPr>
            <w:tcMar>
              <w:top w:w="110.0" w:type="dxa"/>
              <w:bottom w:w="110.0" w:type="dxa"/>
            </w:tcMar>
            <w:vAlign w:val="center"/>
          </w:tcPr>
          <w:p w:rsidR="00000000" w:rsidDel="00000000" w:rsidP="00000000" w:rsidRDefault="00000000" w:rsidRPr="00000000" w14:paraId="0000001F">
            <w:pPr>
              <w:jc w:val="left"/>
              <w:rPr/>
            </w:pPr>
            <w:r w:rsidDel="00000000" w:rsidR="00000000" w:rsidRPr="00000000">
              <w:rPr>
                <w:rtl w:val="0"/>
              </w:rPr>
              <w:t xml:space="preserve">Yes, draft materials uploaded</w:t>
            </w:r>
          </w:p>
        </w:tc>
        <w:tc>
          <w:tcPr>
            <w:tcMar>
              <w:top w:w="110.0" w:type="dxa"/>
              <w:bottom w:w="110.0" w:type="dxa"/>
            </w:tcMar>
            <w:vAlign w:val="center"/>
          </w:tcPr>
          <w:p w:rsidR="00000000" w:rsidDel="00000000" w:rsidP="00000000" w:rsidRDefault="00000000" w:rsidRPr="00000000" w14:paraId="00000020">
            <w:pPr>
              <w:jc w:val="left"/>
              <w:rPr/>
            </w:pPr>
            <w:r w:rsidDel="00000000" w:rsidR="00000000" w:rsidRPr="00000000">
              <w:rPr>
                <w:rtl w:val="0"/>
              </w:rPr>
              <w:t xml:space="preserve">Yes, draft materials uploaded</w:t>
            </w:r>
          </w:p>
        </w:tc>
      </w:tr>
      <w:tr>
        <w:trPr>
          <w:cantSplit w:val="0"/>
          <w:tblHeader w:val="0"/>
        </w:trPr>
        <w:tc>
          <w:tcPr>
            <w:tcMar>
              <w:top w:w="110.0" w:type="dxa"/>
              <w:bottom w:w="110.0" w:type="dxa"/>
            </w:tcMar>
            <w:vAlign w:val="center"/>
          </w:tcPr>
          <w:p w:rsidR="00000000" w:rsidDel="00000000" w:rsidP="00000000" w:rsidRDefault="00000000" w:rsidRPr="00000000" w14:paraId="00000021">
            <w:pPr>
              <w:jc w:val="center"/>
              <w:rPr/>
            </w:pPr>
            <w:r w:rsidDel="00000000" w:rsidR="00000000" w:rsidRPr="00000000">
              <w:rPr>
                <w:b w:val="1"/>
                <w:bCs w:val="1"/>
                <w:rtl w:val="0"/>
              </w:rPr>
              <w:t xml:space="preserve">Status of Finalized ePortfolio</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22">
            <w:pPr>
              <w:jc w:val="left"/>
              <w:rPr/>
            </w:pPr>
            <w:r w:rsidDel="00000000" w:rsidR="00000000" w:rsidRPr="00000000">
              <w:rPr>
                <w:rtl w:val="0"/>
              </w:rPr>
              <w:t xml:space="preserve">In progress. Artifact and enhancement are complete, but final portfolio wording and presentation still need review.</w:t>
            </w:r>
          </w:p>
        </w:tc>
        <w:tc>
          <w:tcPr>
            <w:tcMar>
              <w:top w:w="110.0" w:type="dxa"/>
              <w:bottom w:w="110.0" w:type="dxa"/>
            </w:tcMar>
            <w:vAlign w:val="center"/>
          </w:tcPr>
          <w:p w:rsidR="00000000" w:rsidDel="00000000" w:rsidP="00000000" w:rsidRDefault="00000000" w:rsidRPr="00000000" w14:paraId="00000023">
            <w:pPr>
              <w:jc w:val="left"/>
              <w:rPr/>
            </w:pPr>
            <w:r w:rsidDel="00000000" w:rsidR="00000000" w:rsidRPr="00000000">
              <w:rPr>
                <w:rtl w:val="0"/>
              </w:rPr>
              <w:t xml:space="preserve">In progress. Artifact and enhancement are complete, but final portfolio wording and presentation still need review.</w:t>
            </w:r>
          </w:p>
        </w:tc>
        <w:tc>
          <w:tcPr>
            <w:tcMar>
              <w:top w:w="110.0" w:type="dxa"/>
              <w:bottom w:w="110.0" w:type="dxa"/>
            </w:tcMar>
            <w:vAlign w:val="center"/>
          </w:tcPr>
          <w:p w:rsidR="00000000" w:rsidDel="00000000" w:rsidP="00000000" w:rsidRDefault="00000000" w:rsidRPr="00000000" w14:paraId="00000024">
            <w:pPr>
              <w:jc w:val="left"/>
              <w:rPr/>
            </w:pPr>
            <w:r w:rsidDel="00000000" w:rsidR="00000000" w:rsidRPr="00000000">
              <w:rPr>
                <w:rtl w:val="0"/>
              </w:rPr>
              <w:t xml:space="preserve">In progress. Artifact and enhancement are complete, but final portfolio wording and presentation still need review.</w:t>
            </w:r>
          </w:p>
        </w:tc>
      </w:tr>
    </w:tbl>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Optional Feedback: </w:t>
      </w:r>
      <w:r w:rsidDel="00000000" w:rsidR="00000000" w:rsidRPr="00000000">
        <w:rPr>
          <w:rtl w:val="0"/>
        </w:rPr>
        <w:t xml:space="preserve">I would especially appreciate feedback on whether the portfolio narratives clearly show the technical difference between the original artifacts and the enhanced versions, and whether the database artifact communicates enough depth in both application design and security-minded data access.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jc w:val="left"/>
        <w:rPr/>
      </w:pPr>
      <w:r w:rsidDel="00000000" w:rsidR="00000000" w:rsidRPr="00000000">
        <w:rPr>
          <w:b w:val="1"/>
          <w:bCs w:val="1"/>
          <w:rtl w:val="0"/>
        </w:rPr>
        <w:t xml:space="preserve">References</w:t>
      </w:r>
      <w:r w:rsidDel="00000000" w:rsidR="00000000" w:rsidRPr="00000000">
        <w:rPr>
          <w:rtl w:val="0"/>
        </w:rPr>
      </w:r>
    </w:p>
    <w:p w:rsidR="00000000" w:rsidDel="00000000" w:rsidP="00000000" w:rsidRDefault="00000000" w:rsidRPr="00000000" w14:paraId="0000002B">
      <w:pPr>
        <w:ind w:left="720" w:hanging="720"/>
        <w:rPr/>
      </w:pPr>
      <w:r w:rsidDel="00000000" w:rsidR="00000000" w:rsidRPr="00000000">
        <w:rPr>
          <w:rtl w:val="0"/>
        </w:rPr>
        <w:t xml:space="preserve">National Institute of Standards and Technology. (2024, August 13). NIST releases first 3 finalized post-quantum encryption standards.</w:t>
      </w:r>
    </w:p>
    <w:p w:rsidR="00000000" w:rsidDel="00000000" w:rsidP="00000000" w:rsidRDefault="00000000" w:rsidRPr="00000000" w14:paraId="0000002C">
      <w:pPr>
        <w:ind w:left="720" w:hanging="720"/>
        <w:rPr/>
      </w:pPr>
      <w:r w:rsidDel="00000000" w:rsidR="00000000" w:rsidRPr="00000000">
        <w:rPr>
          <w:rtl w:val="0"/>
        </w:rPr>
        <w:t xml:space="preserve">National Institute of Standards and Technology. (2026, January 12). CAISI issues request for information about securing AI agent systems.</w:t>
      </w:r>
    </w:p>
    <w:p w:rsidR="00000000" w:rsidDel="00000000" w:rsidP="00000000" w:rsidRDefault="00000000" w:rsidRPr="00000000" w14:paraId="0000002D">
      <w:pPr>
        <w:ind w:left="720" w:hanging="720"/>
        <w:rPr/>
      </w:pPr>
      <w:r w:rsidDel="00000000" w:rsidR="00000000" w:rsidRPr="00000000">
        <w:rPr>
          <w:rtl w:val="0"/>
        </w:rPr>
        <w:t xml:space="preserve">OECD. (2026). The agentic AI landscape and its conceptual foundations.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