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STOCK RATING APPLICATION</w:t>
      </w:r>
    </w:p>
    <w:p>
      <w:pPr>
        <w:spacing w:after="100"/>
        <w:jc w:val="center"/>
      </w:pPr>
      <w:r>
        <w:rPr>
          <w:rFonts w:ascii="Arial" w:cs="Arial" w:eastAsia="Arial" w:hAnsi="Arial"/>
          <w:color w:val="2E75B6"/>
          <w:sz w:val="32"/>
          <w:szCs w:val="32"/>
        </w:rPr>
        <w:t xml:space="preserve">Technical Specification Document</w:t>
      </w:r>
    </w:p>
    <w:p>
      <w:pPr>
        <w:pBdr>
          <w:bottom w:val="single" w:color="1F4E79" w:sz="6" w:space="1"/>
        </w:pBdr>
        <w:spacing w:after="600"/>
        <w:jc w:val="center"/>
      </w:pPr>
      <w:r>
        <w:rPr>
          <w:rFonts w:ascii="Arial" w:cs="Arial" w:eastAsia="Arial" w:hAnsi="Arial"/>
          <w:color w:val="666666"/>
          <w:sz w:val="24"/>
          <w:szCs w:val="24"/>
        </w:rPr>
        <w:t xml:space="preserve">Version 1.0</w:t>
      </w:r>
    </w:p>
    <w:p>
      <w:pPr>
        <w:spacing w:after="100" w:before="400"/>
        <w:jc w:val="center"/>
      </w:pPr>
      <w:r>
        <w:rPr>
          <w:rFonts w:ascii="Arial" w:cs="Arial" w:eastAsia="Arial" w:hAnsi="Arial"/>
          <w:sz w:val="22"/>
          <w:szCs w:val="22"/>
        </w:rPr>
        <w:t xml:space="preserve">Date: April 11, 2026</w:t>
      </w:r>
    </w:p>
    <w:p>
      <w:pPr>
        <w:spacing w:after="100"/>
        <w:jc w:val="center"/>
      </w:pPr>
      <w:r>
        <w:rPr>
          <w:rFonts w:ascii="Arial" w:cs="Arial" w:eastAsia="Arial" w:hAnsi="Arial"/>
          <w:sz w:val="22"/>
          <w:szCs w:val="22"/>
        </w:rPr>
        <w:t xml:space="preserve">Author: Shadab Khan</w:t>
      </w:r>
    </w:p>
    <w:p>
      <w:pPr>
        <w:jc w:val="center"/>
      </w:pPr>
      <w:r>
        <w:rPr>
          <w:rFonts w:ascii="Arial" w:cs="Arial" w:eastAsia="Arial" w:hAnsi="Arial"/>
          <w:color w:val="E67E22"/>
          <w:sz w:val="22"/>
          <w:szCs w:val="22"/>
        </w:rPr>
        <w:t xml:space="preserve">Status: Draft</w:t>
      </w:r>
    </w:p>
    <w:p>
      <w:r>
        <w:br w:type="page"/>
      </w:r>
    </w:p>
    <w:p>
      <w:pPr>
        <w:pStyle w:val="Heading1"/>
        <w:spacing w:after="120" w:before="240"/>
      </w:pPr>
      <w:r>
        <w:rPr>
          <w:rFonts w:ascii="Arial" w:cs="Arial" w:eastAsia="Arial" w:hAnsi="Arial"/>
          <w:b/>
          <w:bCs/>
          <w:sz w:val="32"/>
          <w:szCs w:val="32"/>
        </w:rPr>
        <w:t xml:space="preserve">1. Overview</w:t>
      </w:r>
    </w:p>
    <w:p>
      <w:pPr>
        <w:spacing w:after="120"/>
      </w:pPr>
      <w:r>
        <w:rPr>
          <w:rFonts w:ascii="Arial" w:cs="Arial" w:eastAsia="Arial" w:hAnsi="Arial"/>
          <w:sz w:val="20"/>
          <w:szCs w:val="20"/>
        </w:rPr>
        <w:t xml:space="preserve">This document specifies a stock rating application that evaluates NSE-listed equities against multiple quantitative criteria and produces a composite score for each stock. The application fetches daily OHLC (Open, High, Low, Close) data via the Kite Connect API, reads reference data from a local MySQL database, and rates stocks based on proximity to 52-week highs, momentum performance across multiple timeframes, liquidity, relative strength versus the Nifty Smallcap 250 index, sector classification, and volatility.</w:t>
      </w:r>
    </w:p>
    <w:p>
      <w:pPr>
        <w:pStyle w:val="Heading2"/>
        <w:spacing w:after="120" w:before="240"/>
      </w:pPr>
      <w:r>
        <w:rPr>
          <w:rFonts w:ascii="Arial" w:cs="Arial" w:eastAsia="Arial" w:hAnsi="Arial"/>
          <w:b/>
          <w:bCs/>
          <w:sz w:val="28"/>
          <w:szCs w:val="28"/>
        </w:rPr>
        <w:t xml:space="preserve">1.1 Purpose</w:t>
      </w:r>
    </w:p>
    <w:p>
      <w:pPr>
        <w:spacing w:after="120"/>
      </w:pPr>
      <w:r>
        <w:rPr>
          <w:rFonts w:ascii="Arial" w:cs="Arial" w:eastAsia="Arial" w:hAnsi="Arial"/>
          <w:sz w:val="20"/>
          <w:szCs w:val="20"/>
        </w:rPr>
        <w:t xml:space="preserve">The application assists in systematic screening and ranking of equities by assigning point-based scores across six rating dimensions. The output is a ranked list of stocks with detailed scoring breakdowns, enabling data-driven investment decision-making.</w:t>
      </w:r>
    </w:p>
    <w:p>
      <w:pPr>
        <w:pStyle w:val="Heading2"/>
        <w:spacing w:after="120" w:before="240"/>
      </w:pPr>
      <w:r>
        <w:rPr>
          <w:rFonts w:ascii="Arial" w:cs="Arial" w:eastAsia="Arial" w:hAnsi="Arial"/>
          <w:b/>
          <w:bCs/>
          <w:sz w:val="28"/>
          <w:szCs w:val="28"/>
        </w:rPr>
        <w:t xml:space="preserve">1.2 Scope</w:t>
      </w:r>
    </w:p>
    <w:p>
      <w:pPr>
        <w:spacing w:after="120"/>
      </w:pPr>
      <w:r>
        <w:rPr>
          <w:rFonts w:ascii="Arial" w:cs="Arial" w:eastAsia="Arial" w:hAnsi="Arial"/>
          <w:sz w:val="20"/>
          <w:szCs w:val="20"/>
        </w:rPr>
        <w:t xml:space="preserve">The application covers NSE-listed equities provided via a date-stamped symbol list file. It does not execute trades, manage portfolios, or provide buy/sell recommendations. It is a scoring and screening tool only.</w:t>
      </w:r>
    </w:p>
    <w:p>
      <w:r>
        <w:br w:type="page"/>
      </w:r>
    </w:p>
    <w:p>
      <w:pPr>
        <w:pStyle w:val="Heading1"/>
        <w:spacing w:after="120" w:before="240"/>
      </w:pPr>
      <w:r>
        <w:rPr>
          <w:rFonts w:ascii="Arial" w:cs="Arial" w:eastAsia="Arial" w:hAnsi="Arial"/>
          <w:b/>
          <w:bCs/>
          <w:sz w:val="32"/>
          <w:szCs w:val="32"/>
        </w:rPr>
        <w:t xml:space="preserve">2. Inputs and Configuration</w:t>
      </w:r>
    </w:p>
    <w:p>
      <w:pPr>
        <w:pStyle w:val="Heading2"/>
        <w:spacing w:after="120" w:before="240"/>
      </w:pPr>
      <w:r>
        <w:rPr>
          <w:rFonts w:ascii="Arial" w:cs="Arial" w:eastAsia="Arial" w:hAnsi="Arial"/>
          <w:b/>
          <w:bCs/>
          <w:sz w:val="28"/>
          <w:szCs w:val="28"/>
        </w:rPr>
        <w:t xml:space="preserve">2.1 Command-Line Arguments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472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Argument</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Required</w:t>
            </w:r>
          </w:p>
        </w:tc>
        <w:tc>
          <w:tcPr>
            <w:tcW w:type="dxa" w:w="47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cutoff_date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Date (YYYY-MM-DD)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as-of date for rating. Used to locate the symbol file and as the end date for all data lookbacks.</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reset_date</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Date (YYYY-MM-DD)</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47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The reference date for measuring recovery/performance since a market reset event.</w:t>
            </w:r>
          </w:p>
        </w:tc>
      </w:tr>
    </w:tbl>
    <w:p>
      <w:pPr>
        <w:pStyle w:val="Heading2"/>
        <w:spacing w:after="120" w:before="240"/>
      </w:pPr>
      <w:r>
        <w:rPr>
          <w:rFonts w:ascii="Arial" w:cs="Arial" w:eastAsia="Arial" w:hAnsi="Arial"/>
          <w:b/>
          <w:bCs/>
          <w:sz w:val="28"/>
          <w:szCs w:val="28"/>
        </w:rPr>
        <w:t xml:space="preserve">2.2 Symbol List File</w:t>
      </w:r>
    </w:p>
    <w:p>
      <w:pPr>
        <w:spacing w:after="120"/>
      </w:pPr>
      <w:r>
        <w:rPr>
          <w:rFonts w:ascii="Arial" w:cs="Arial" w:eastAsia="Arial" w:hAnsi="Arial"/>
          <w:sz w:val="20"/>
          <w:szCs w:val="20"/>
        </w:rPr>
        <w:t xml:space="preserve">The application locates a text file matching the cutoff_date. The file contains one NSE symbol per line. The file naming convention and search logic:</w:t>
      </w:r>
    </w:p>
    <w:p>
      <w:pPr>
        <w:pStyle w:val="ListParagraph"/>
        <w:numPr>
          <w:ilvl w:val="0"/>
          <w:numId w:val="2"/>
        </w:numPr>
        <w:spacing w:after="80"/>
      </w:pPr>
      <w:r>
        <w:rPr>
          <w:rFonts w:ascii="Arial" w:cs="Arial" w:eastAsia="Arial" w:hAnsi="Arial"/>
          <w:sz w:val="20"/>
          <w:szCs w:val="20"/>
        </w:rPr>
        <w:t xml:space="preserve">Filename pattern: gmlist_&lt;DDMMMYYYY&gt;.txt (e.g., gmlist_11Apr2026.txt)</w:t>
      </w:r>
    </w:p>
    <w:p>
      <w:pPr>
        <w:pStyle w:val="ListParagraph"/>
        <w:numPr>
          <w:ilvl w:val="0"/>
          <w:numId w:val="2"/>
        </w:numPr>
        <w:spacing w:after="80"/>
      </w:pPr>
      <w:r>
        <w:rPr>
          <w:rFonts w:ascii="Arial" w:cs="Arial" w:eastAsia="Arial" w:hAnsi="Arial"/>
          <w:sz w:val="20"/>
          <w:szCs w:val="20"/>
        </w:rPr>
        <w:t xml:space="preserve">One NSE symbol per line, lines starting with # are comments</w:t>
      </w:r>
    </w:p>
    <w:p>
      <w:pPr>
        <w:pStyle w:val="ListParagraph"/>
        <w:numPr>
          <w:ilvl w:val="0"/>
          <w:numId w:val="2"/>
        </w:numPr>
        <w:spacing w:after="80"/>
      </w:pPr>
      <w:r>
        <w:rPr>
          <w:rFonts w:ascii="Arial" w:cs="Arial" w:eastAsia="Arial" w:hAnsi="Arial"/>
          <w:sz w:val="20"/>
          <w:szCs w:val="20"/>
        </w:rPr>
        <w:t xml:space="preserve">NSE: prefix is supported and auto-stripped (e.g., NSE:RELIANCE becomes RELIANCE)</w:t>
      </w:r>
    </w:p>
    <w:p>
      <w:pPr>
        <w:pStyle w:val="ListParagraph"/>
        <w:numPr>
          <w:ilvl w:val="0"/>
          <w:numId w:val="2"/>
        </w:numPr>
        <w:spacing w:after="120"/>
      </w:pPr>
      <w:r>
        <w:rPr>
          <w:rFonts w:ascii="Arial" w:cs="Arial" w:eastAsia="Arial" w:hAnsi="Arial"/>
          <w:sz w:val="20"/>
          <w:szCs w:val="20"/>
        </w:rPr>
        <w:t xml:space="preserve">Duplicate symbols are removed while preserving order</w:t>
      </w:r>
    </w:p>
    <w:p>
      <w:pPr>
        <w:pStyle w:val="Heading2"/>
        <w:spacing w:after="120" w:before="240"/>
      </w:pPr>
      <w:r>
        <w:rPr>
          <w:rFonts w:ascii="Arial" w:cs="Arial" w:eastAsia="Arial" w:hAnsi="Arial"/>
          <w:b/>
          <w:bCs/>
          <w:sz w:val="28"/>
          <w:szCs w:val="28"/>
        </w:rPr>
        <w:t xml:space="preserve">2.3 Kite Connect API</w:t>
      </w:r>
    </w:p>
    <w:p>
      <w:pPr>
        <w:spacing w:after="120"/>
      </w:pPr>
      <w:r>
        <w:rPr>
          <w:rFonts w:ascii="Arial" w:cs="Arial" w:eastAsia="Arial" w:hAnsi="Arial"/>
          <w:sz w:val="20"/>
          <w:szCs w:val="20"/>
        </w:rPr>
        <w:t xml:space="preserve">The application uses the Kite Connect API (kiteconnect Python library) for fetching market data. Credentials are read from kite_token.txt which contains: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w:t>
            </w:r>
          </w:p>
        </w:tc>
        <w:tc>
          <w:tcPr>
            <w:tcW w:type="dxa" w:w="67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API_KEY</w:t>
            </w:r>
          </w:p>
        </w:tc>
        <w:tc>
          <w:tcPr>
            <w:tcW w:type="dxa" w:w="6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Kite Connect API key for authentication</w:t>
            </w:r>
          </w:p>
        </w:tc>
      </w:tr>
      <w:tr>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ACCESS_TOKEN</w:t>
            </w:r>
          </w:p>
        </w:tc>
        <w:tc>
          <w:tcPr>
            <w:tcW w:type="dxa" w:w="67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Session access token (generated daily via Kite login flow)</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GENERATED</w:t>
            </w:r>
          </w:p>
        </w:tc>
        <w:tc>
          <w:tcPr>
            <w:tcW w:type="dxa" w:w="6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Timestamp when the token was generated (used for staleness warning)</w:t>
            </w:r>
          </w:p>
        </w:tc>
      </w:tr>
    </w:tbl>
    <w:p>
      <w:pPr>
        <w:spacing w:after="120" w:before="120"/>
      </w:pPr>
      <w:r>
        <w:rPr>
          <w:rFonts w:ascii="Arial" w:cs="Arial" w:eastAsia="Arial" w:hAnsi="Arial"/>
          <w:b/>
          <w:bCs/>
          <w:sz w:val="20"/>
          <w:szCs w:val="20"/>
        </w:rPr>
        <w:t xml:space="preserve">API Methods Used:</w:t>
      </w:r>
    </w:p>
    <w:p>
      <w:pPr>
        <w:pStyle w:val="ListParagraph"/>
        <w:numPr>
          <w:ilvl w:val="0"/>
          <w:numId w:val="3"/>
        </w:numPr>
        <w:spacing w:after="80"/>
      </w:pPr>
      <w:r>
        <w:rPr>
          <w:rFonts w:ascii="Arial" w:cs="Arial" w:eastAsia="Arial" w:hAnsi="Arial"/>
          <w:sz w:val="20"/>
          <w:szCs w:val="20"/>
        </w:rPr>
        <w:t xml:space="preserve">kite.instruments("NSE") — Fetch all NSE instruments to map symbols to instrument tokens</w:t>
      </w:r>
    </w:p>
    <w:p>
      <w:pPr>
        <w:pStyle w:val="ListParagraph"/>
        <w:numPr>
          <w:ilvl w:val="0"/>
          <w:numId w:val="3"/>
        </w:numPr>
        <w:spacing w:after="120"/>
      </w:pPr>
      <w:r>
        <w:rPr>
          <w:rFonts w:ascii="Arial" w:cs="Arial" w:eastAsia="Arial" w:hAnsi="Arial"/>
          <w:sz w:val="20"/>
          <w:szCs w:val="20"/>
        </w:rPr>
        <w:t xml:space="preserve">kite.historical_data(instrument_token, from_date, to_date, interval="day") — Fetch daily OHLC + volume data</w:t>
      </w:r>
    </w:p>
    <w:p>
      <w:pPr>
        <w:pStyle w:val="Heading2"/>
        <w:spacing w:after="120" w:before="240"/>
      </w:pPr>
      <w:r>
        <w:rPr>
          <w:rFonts w:ascii="Arial" w:cs="Arial" w:eastAsia="Arial" w:hAnsi="Arial"/>
          <w:b/>
          <w:bCs/>
          <w:sz w:val="28"/>
          <w:szCs w:val="28"/>
        </w:rPr>
        <w:t xml:space="preserve">2.4 Database Configuration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Parameter</w:t>
            </w:r>
          </w:p>
        </w:tc>
        <w:tc>
          <w:tcPr>
            <w:tcW w:type="dxa" w:w="67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Host</w:t>
            </w:r>
          </w:p>
        </w:tc>
        <w:tc>
          <w:tcPr>
            <w:tcW w:type="dxa" w:w="6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localhost</w:t>
            </w:r>
          </w:p>
        </w:tc>
      </w:tr>
      <w:tr>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Port</w:t>
            </w:r>
          </w:p>
        </w:tc>
        <w:tc>
          <w:tcPr>
            <w:tcW w:type="dxa" w:w="67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3306</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Username</w:t>
            </w:r>
          </w:p>
        </w:tc>
        <w:tc>
          <w:tcPr>
            <w:tcW w:type="dxa" w:w="6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root</w:t>
            </w:r>
          </w:p>
        </w:tc>
      </w:tr>
      <w:tr>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Password</w:t>
            </w:r>
          </w:p>
        </w:tc>
        <w:tc>
          <w:tcPr>
            <w:tcW w:type="dxa" w:w="67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root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6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bhav</w:t>
            </w:r>
          </w:p>
        </w:tc>
      </w:tr>
    </w:tbl>
    <w:p>
      <w:pPr>
        <w:spacing w:after="80" w:before="120"/>
      </w:pPr>
      <w:r>
        <w:rPr>
          <w:rFonts w:ascii="Arial" w:cs="Arial" w:eastAsia="Arial" w:hAnsi="Arial"/>
          <w:b/>
          <w:bCs/>
          <w:sz w:val="20"/>
          <w:szCs w:val="20"/>
        </w:rPr>
        <w:t xml:space="preserve">Tables Used:</w:t>
      </w:r>
    </w:p>
    <w:p>
      <w:pPr>
        <w:pStyle w:val="ListParagraph"/>
        <w:numPr>
          <w:ilvl w:val="0"/>
          <w:numId w:val="4"/>
        </w:numPr>
        <w:spacing w:after="80"/>
      </w:pPr>
      <w:r>
        <w:rPr>
          <w:rFonts w:ascii="Arial" w:cs="Arial" w:eastAsia="Arial" w:hAnsi="Arial"/>
          <w:sz w:val="20"/>
          <w:szCs w:val="20"/>
        </w:rPr>
        <w:t xml:space="preserve">sectors — Maps symbols to sector/industry classifications (columns: symbol, sector1)</w:t>
      </w:r>
    </w:p>
    <w:p>
      <w:pPr>
        <w:pStyle w:val="ListParagraph"/>
        <w:numPr>
          <w:ilvl w:val="0"/>
          <w:numId w:val="4"/>
        </w:numPr>
        <w:spacing w:after="120"/>
      </w:pPr>
      <w:r>
        <w:rPr>
          <w:rFonts w:ascii="Arial" w:cs="Arial" w:eastAsia="Arial" w:hAnsi="Arial"/>
          <w:sz w:val="20"/>
          <w:szCs w:val="20"/>
        </w:rPr>
        <w:t xml:space="preserve">indexbhav — Contains index-level OHLC data including Nifty Smallcap 250 (used for RS comparison)</w:t>
      </w:r>
    </w:p>
    <w:p>
      <w:r>
        <w:br w:type="page"/>
      </w:r>
    </w:p>
    <w:p>
      <w:pPr>
        <w:pStyle w:val="Heading1"/>
        <w:spacing w:after="120" w:before="240"/>
      </w:pPr>
      <w:r>
        <w:rPr>
          <w:rFonts w:ascii="Arial" w:cs="Arial" w:eastAsia="Arial" w:hAnsi="Arial"/>
          <w:b/>
          <w:bCs/>
          <w:sz w:val="32"/>
          <w:szCs w:val="32"/>
        </w:rPr>
        <w:t xml:space="preserve">3. Rating Criteria</w:t>
      </w:r>
    </w:p>
    <w:p>
      <w:pPr>
        <w:spacing w:after="120"/>
      </w:pPr>
      <w:r>
        <w:rPr>
          <w:rFonts w:ascii="Arial" w:cs="Arial" w:eastAsia="Arial" w:hAnsi="Arial"/>
          <w:sz w:val="20"/>
          <w:szCs w:val="20"/>
        </w:rPr>
        <w:t xml:space="preserve">The application evaluates each stock across six independent rating dimensions. Points are summed to produce a composite score. Each dimension is described below with its scoring rules.</w:t>
      </w:r>
    </w:p>
    <w:p>
      <w:pPr>
        <w:pStyle w:val="Heading2"/>
        <w:spacing w:after="120" w:before="240"/>
      </w:pPr>
      <w:r>
        <w:rPr>
          <w:rFonts w:ascii="Arial" w:cs="Arial" w:eastAsia="Arial" w:hAnsi="Arial"/>
          <w:b/>
          <w:bCs/>
          <w:sz w:val="28"/>
          <w:szCs w:val="28"/>
        </w:rPr>
        <w:t xml:space="preserve">3.1 52-Week High Proximity</w:t>
      </w:r>
    </w:p>
    <w:p>
      <w:pPr>
        <w:spacing w:after="120"/>
      </w:pPr>
      <w:r>
        <w:rPr>
          <w:rFonts w:ascii="Arial" w:cs="Arial" w:eastAsia="Arial" w:hAnsi="Arial"/>
          <w:sz w:val="20"/>
          <w:szCs w:val="20"/>
        </w:rPr>
        <w:t xml:space="preserve">This dimension measures how close the current price is to the 52-week high and how recently the high was made. Stocks trading near their highs with recent highs score the most.</w:t>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5500"/>
        <w:gridCol w:w="1000"/>
        <w:gridCol w:w="1220"/>
      </w:tblGrid>
      <w:tr>
        <w:tc>
          <w:tcPr>
            <w:tcW w:type="dxa" w:w="5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Condition</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Points</w:t>
            </w:r>
          </w:p>
        </w:tc>
        <w:tc>
          <w:tcPr>
            <w:tcW w:type="dxa" w:w="12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Current price within 10% of 52-week high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Current price within 15% of 52-week high (and not within 10%)</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2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Current price within 20% of 52-week high (and not within 15%)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52-week high occurred within last 10 trading days</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2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52-week high occurred within last 15 trading days (and not within 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Within 10% of 52W high AND high within last 10 days</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2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Bonus</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Within 15% of 52W high AND high within last 10 days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Bonus</w:t>
            </w:r>
          </w:p>
        </w:tc>
      </w:tr>
    </w:tbl>
    <w:p>
      <w:pPr>
        <w:spacing w:after="120" w:before="120"/>
      </w:pPr>
      <w:r>
        <w:rPr>
          <w:rFonts w:ascii="Arial" w:cs="Arial" w:eastAsia="Arial" w:hAnsi="Arial"/>
          <w:b/>
          <w:bCs/>
          <w:i/>
          <w:iCs/>
          <w:color w:val="1F4E79"/>
          <w:sz w:val="20"/>
          <w:szCs w:val="20"/>
        </w:rPr>
        <w:t xml:space="preserve">Maximum possible: 14 points</w:t>
      </w:r>
    </w:p>
    <w:p>
      <w:pPr>
        <w:spacing w:after="120"/>
      </w:pPr>
      <w:r>
        <w:rPr>
          <w:rFonts w:ascii="Arial" w:cs="Arial" w:eastAsia="Arial" w:hAnsi="Arial"/>
          <w:sz w:val="20"/>
          <w:szCs w:val="20"/>
        </w:rPr>
        <w:t xml:space="preserve">Calculation notes: The 52-week high is the highest closing price in the 252 trading days (approximately 1 calendar year) ending on the cutoff_date. Proximity percentage = (52W_high - current_close) / 52W_high. Days since high = number of trading days between the date of the 52W high and the cutoff_date.</w:t>
      </w:r>
    </w:p>
    <w:p>
      <w:pPr>
        <w:pStyle w:val="Heading2"/>
        <w:spacing w:after="120" w:before="240"/>
      </w:pPr>
      <w:r>
        <w:rPr>
          <w:rFonts w:ascii="Arial" w:cs="Arial" w:eastAsia="Arial" w:hAnsi="Arial"/>
          <w:b/>
          <w:bCs/>
          <w:sz w:val="28"/>
          <w:szCs w:val="28"/>
        </w:rPr>
        <w:t xml:space="preserve">3.2 Liquidity Rating</w:t>
      </w:r>
    </w:p>
    <w:p>
      <w:pPr>
        <w:spacing w:after="120"/>
      </w:pPr>
      <w:r>
        <w:rPr>
          <w:rFonts w:ascii="Arial" w:cs="Arial" w:eastAsia="Arial" w:hAnsi="Arial"/>
          <w:sz w:val="20"/>
          <w:szCs w:val="20"/>
        </w:rPr>
        <w:t xml:space="preserve">Liquidity is assessed using the 42-day average daily turnover, where turnover = close price × volume. Stocks with very low liquidity relative to the universe receive a penalty.</w:t>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5500"/>
        <w:gridCol w:w="1000"/>
        <w:gridCol w:w="1220"/>
      </w:tblGrid>
      <w:tr>
        <w:tc>
          <w:tcPr>
            <w:tcW w:type="dxa" w:w="5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Condition</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Points</w:t>
            </w:r>
          </w:p>
        </w:tc>
        <w:tc>
          <w:tcPr>
            <w:tcW w:type="dxa" w:w="12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42-day average turnover in bottom 30th percentile of the universe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Penalty</w:t>
            </w:r>
          </w:p>
        </w:tc>
      </w:tr>
    </w:tbl>
    <w:p>
      <w:pPr>
        <w:spacing w:after="120"/>
      </w:pPr>
      <w:r>
        <w:rPr>
          <w:rFonts w:ascii="Arial" w:cs="Arial" w:eastAsia="Arial" w:hAnsi="Arial"/>
          <w:sz w:val="20"/>
          <w:szCs w:val="20"/>
        </w:rPr>
        <w:t xml:space="preserve">Calculation notes: Turnover for each day = close × volume. The 42-day average turnover is computed over the most recent 42 trading days ending on the cutoff_date. The 30th percentile threshold is calculated across all stocks in the symbol list.</w:t>
      </w:r>
    </w:p>
    <w:p>
      <w:pPr>
        <w:pStyle w:val="Heading2"/>
        <w:spacing w:after="120" w:before="240"/>
      </w:pPr>
      <w:r>
        <w:rPr>
          <w:rFonts w:ascii="Arial" w:cs="Arial" w:eastAsia="Arial" w:hAnsi="Arial"/>
          <w:b/>
          <w:bCs/>
          <w:sz w:val="28"/>
          <w:szCs w:val="28"/>
        </w:rPr>
        <w:t xml:space="preserve">3.3 Multi-Timeframe Performance and Reset Day Recovery</w:t>
      </w:r>
    </w:p>
    <w:p>
      <w:pPr>
        <w:spacing w:after="120"/>
      </w:pPr>
      <w:r>
        <w:rPr>
          <w:rFonts w:ascii="Arial" w:cs="Arial" w:eastAsia="Arial" w:hAnsi="Arial"/>
          <w:sz w:val="20"/>
          <w:szCs w:val="20"/>
        </w:rPr>
        <w:t xml:space="preserve">This dimension rates stocks based on their price performance over 12-month, 6-month, and 3-month periods, plus recovery from the reset date. Performance is measured as percentage return and ranked in percentiles across the entire universe.</w:t>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5500"/>
        <w:gridCol w:w="1000"/>
        <w:gridCol w:w="1220"/>
      </w:tblGrid>
      <w:tr>
        <w:tc>
          <w:tcPr>
            <w:tcW w:type="dxa" w:w="5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Condition</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Points</w:t>
            </w:r>
          </w:p>
        </w:tc>
        <w:tc>
          <w:tcPr>
            <w:tcW w:type="dxa" w:w="12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percentile 12-month performer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Top 30th percentile 12-month performer (and not top 10th)</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2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percentile 6-month performer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Top 30th percentile 6-month performer (and not top 10th)</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12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percentile 3-month performer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Top 30th percentile 3-month performer (and not top 10th)</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12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percentile 12-month performer AND within 10 days of 52W high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Bonus</w:t>
            </w:r>
          </w:p>
        </w:tc>
      </w:tr>
    </w:tbl>
    <w:p>
      <w:pPr>
        <w:spacing w:after="120" w:before="120"/>
      </w:pPr>
      <w:r>
        <w:rPr>
          <w:rFonts w:ascii="Arial" w:cs="Arial" w:eastAsia="Arial" w:hAnsi="Arial"/>
          <w:b/>
          <w:bCs/>
          <w:i/>
          <w:iCs/>
          <w:color w:val="1F4E79"/>
          <w:sz w:val="20"/>
          <w:szCs w:val="20"/>
        </w:rPr>
        <w:t xml:space="preserve">Maximum possible: 18 points (8 + 4 + 4 + 2 bonus)</w:t>
      </w:r>
    </w:p>
    <w:p>
      <w:pPr>
        <w:spacing w:after="120"/>
      </w:pPr>
      <w:r>
        <w:rPr>
          <w:rFonts w:ascii="Arial" w:cs="Arial" w:eastAsia="Arial" w:hAnsi="Arial"/>
          <w:sz w:val="20"/>
          <w:szCs w:val="20"/>
        </w:rPr>
        <w:t xml:space="preserve">Calculation notes: 12-month return = (current_close - close_252_days_ago) / close_252_days_ago. Similarly, 6-month uses 126 days and 3-month uses 63 trading days. Percentile thresholds are calculated across the full universe of rated stocks. Reset day recovery measures return from the low of the reset_date candle to the current close.</w:t>
      </w:r>
    </w:p>
    <w:p>
      <w:pPr>
        <w:pStyle w:val="Heading2"/>
        <w:spacing w:after="120" w:before="240"/>
      </w:pPr>
      <w:r>
        <w:rPr>
          <w:rFonts w:ascii="Arial" w:cs="Arial" w:eastAsia="Arial" w:hAnsi="Arial"/>
          <w:b/>
          <w:bCs/>
          <w:sz w:val="28"/>
          <w:szCs w:val="28"/>
        </w:rPr>
        <w:t xml:space="preserve">3.4 Relative Strength (RS) Rating</w:t>
      </w:r>
    </w:p>
    <w:p>
      <w:pPr>
        <w:spacing w:after="120"/>
      </w:pPr>
      <w:r>
        <w:rPr>
          <w:rFonts w:ascii="Arial" w:cs="Arial" w:eastAsia="Arial" w:hAnsi="Arial"/>
          <w:sz w:val="20"/>
          <w:szCs w:val="20"/>
        </w:rPr>
        <w:t xml:space="preserve">Relative Strength compares each stock’s performance against the Nifty Smallcap 250 index. The index data is sourced from the indexbhav table in the bhav database.</w:t>
      </w:r>
    </w:p>
    <w:p>
      <w:pPr>
        <w:spacing w:after="120"/>
      </w:pPr>
      <w:r>
        <w:rPr>
          <w:rFonts w:ascii="Arial" w:cs="Arial" w:eastAsia="Arial" w:hAnsi="Arial"/>
          <w:b/>
          <w:bCs/>
          <w:sz w:val="20"/>
          <w:szCs w:val="20"/>
        </w:rPr>
        <w:t xml:space="preserve">RS Calculation: </w:t>
      </w:r>
      <w:r>
        <w:rPr>
          <w:rFonts w:ascii="Arial" w:cs="Arial" w:eastAsia="Arial" w:hAnsi="Arial"/>
          <w:sz w:val="20"/>
          <w:szCs w:val="20"/>
        </w:rPr>
        <w:t xml:space="preserve">For each timeframe (3M, 6M, 12M), compute: RS = stock_return / index_return. Stocks with RS &gt; 1.0 are outperforming the benchmark. RS scores are then ranked in percentiles and points are assigned based on relative outperformance tiers.</w:t>
      </w:r>
    </w:p>
    <w:p>
      <w:pPr>
        <w:spacing w:after="120"/>
      </w:pPr>
      <w:r>
        <w:rPr>
          <w:rFonts w:ascii="Arial" w:cs="Arial" w:eastAsia="Arial" w:hAnsi="Arial"/>
          <w:sz w:val="20"/>
          <w:szCs w:val="20"/>
        </w:rPr>
        <w:t xml:space="preserve">Benchmark: Nifty Smallcap 250 index daily close values from the indexbhav table. The specific scoring tiers for RS should follow a similar percentile-based structure as the performance dimension, to be finalized during implementation.</w:t>
      </w:r>
    </w:p>
    <w:p>
      <w:pPr>
        <w:pStyle w:val="Heading2"/>
        <w:spacing w:after="120" w:before="240"/>
      </w:pPr>
      <w:r>
        <w:rPr>
          <w:rFonts w:ascii="Arial" w:cs="Arial" w:eastAsia="Arial" w:hAnsi="Arial"/>
          <w:b/>
          <w:bCs/>
          <w:sz w:val="28"/>
          <w:szCs w:val="28"/>
        </w:rPr>
        <w:t xml:space="preserve">3.5 Sector-Based Rating</w:t>
      </w:r>
    </w:p>
    <w:p>
      <w:pPr>
        <w:spacing w:after="120"/>
      </w:pPr>
      <w:r>
        <w:rPr>
          <w:rFonts w:ascii="Arial" w:cs="Arial" w:eastAsia="Arial" w:hAnsi="Arial"/>
          <w:sz w:val="20"/>
          <w:szCs w:val="20"/>
        </w:rPr>
        <w:t xml:space="preserve">Stocks are categorized into sectors using the sectors table in the bhav database. Sector-level analysis provides context on whether a stock’s sector peers are also performing well, indicating broad sector momentum versus isolated stock movement.</w:t>
      </w:r>
    </w:p>
    <w:p>
      <w:pPr>
        <w:spacing w:after="120"/>
      </w:pPr>
      <w:r>
        <w:rPr>
          <w:rFonts w:ascii="Arial" w:cs="Arial" w:eastAsia="Arial" w:hAnsi="Arial"/>
          <w:b/>
          <w:bCs/>
          <w:sz w:val="20"/>
          <w:szCs w:val="20"/>
        </w:rPr>
        <w:t xml:space="preserve">Implementation: </w:t>
      </w:r>
      <w:r>
        <w:rPr>
          <w:rFonts w:ascii="Arial" w:cs="Arial" w:eastAsia="Arial" w:hAnsi="Arial"/>
          <w:sz w:val="20"/>
          <w:szCs w:val="20"/>
        </w:rPr>
        <w:t xml:space="preserve">Group all rated stocks by their sector classification. For each sector, compute the percentage of stocks that score in the top quartile of the overall universe. Sectors with higher concentration of top-performing stocks receive a sector strength bonus. Individual stocks inherit a sector bonus based on their sector’s strength.</w:t>
      </w:r>
    </w:p>
    <w:p>
      <w:pPr>
        <w:pStyle w:val="Heading2"/>
        <w:spacing w:after="120" w:before="240"/>
      </w:pPr>
      <w:r>
        <w:rPr>
          <w:rFonts w:ascii="Arial" w:cs="Arial" w:eastAsia="Arial" w:hAnsi="Arial"/>
          <w:b/>
          <w:bCs/>
          <w:sz w:val="28"/>
          <w:szCs w:val="28"/>
        </w:rPr>
        <w:t xml:space="preserve">3.6 Volatility Rating (21-Day ATR%)</w:t>
      </w:r>
    </w:p>
    <w:p>
      <w:pPr>
        <w:spacing w:after="120"/>
      </w:pPr>
      <w:r>
        <w:rPr>
          <w:rFonts w:ascii="Arial" w:cs="Arial" w:eastAsia="Arial" w:hAnsi="Arial"/>
          <w:sz w:val="20"/>
          <w:szCs w:val="20"/>
        </w:rPr>
        <w:t xml:space="preserve">Stocks with very low volatility (measured by Average True Range as a percentage of price) receive a penalty, as low ATR% may indicate illiquid or dormant stocks unsuitable for active trading.</w:t>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5500"/>
        <w:gridCol w:w="1000"/>
        <w:gridCol w:w="1220"/>
      </w:tblGrid>
      <w:tr>
        <w:tc>
          <w:tcPr>
            <w:tcW w:type="dxa" w:w="5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Condition</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Points</w:t>
            </w:r>
          </w:p>
        </w:tc>
        <w:tc>
          <w:tcPr>
            <w:tcW w:type="dxa" w:w="12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21-day ATR% in bottom 30th percentile of the universe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Penalty</w:t>
            </w:r>
          </w:p>
        </w:tc>
      </w:tr>
    </w:tbl>
    <w:p>
      <w:pPr>
        <w:spacing w:after="120"/>
      </w:pPr>
      <w:r>
        <w:rPr>
          <w:rFonts w:ascii="Arial" w:cs="Arial" w:eastAsia="Arial" w:hAnsi="Arial"/>
          <w:sz w:val="20"/>
          <w:szCs w:val="20"/>
        </w:rPr>
        <w:t xml:space="preserve">Calculation notes: True Range for each day = max(high - low, abs(high - prev_close), abs(low - prev_close)). ATR = 21-day simple moving average of True Range. ATR% = (ATR / current_close) × 100. The 30th percentile threshold is calculated across all stocks in the symbol list.</w:t>
      </w:r>
    </w:p>
    <w:p>
      <w:r>
        <w:br w:type="page"/>
      </w:r>
    </w:p>
    <w:p>
      <w:pPr>
        <w:pStyle w:val="Heading1"/>
        <w:spacing w:after="120" w:before="240"/>
      </w:pPr>
      <w:r>
        <w:rPr>
          <w:rFonts w:ascii="Arial" w:cs="Arial" w:eastAsia="Arial" w:hAnsi="Arial"/>
          <w:b/>
          <w:bCs/>
          <w:sz w:val="32"/>
          <w:szCs w:val="32"/>
        </w:rPr>
        <w:t xml:space="preserve">4. Composite Scoring Summary</w:t>
      </w:r>
    </w:p>
    <w:p>
      <w:pPr>
        <w:spacing w:after="120"/>
      </w:pPr>
      <w:r>
        <w:rPr>
          <w:rFonts w:ascii="Arial" w:cs="Arial" w:eastAsia="Arial" w:hAnsi="Arial"/>
          <w:sz w:val="20"/>
          <w:szCs w:val="20"/>
        </w:rPr>
        <w:t xml:space="preserve">The table below provides a consolidated view of all scoring rules and their maximum contribution to the composite score.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920"/>
      </w:tblGrid>
      <w:tr>
        <w:tc>
          <w:tcPr>
            <w:tcW w:type="dxa" w:w="2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Dimension</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Max Positive</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Max Negative</w:t>
            </w:r>
          </w:p>
        </w:tc>
        <w:tc>
          <w:tcPr>
            <w:tcW w:type="dxa" w:w="39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 Metric</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52-Week High Proximity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c>
          <w:tcPr>
            <w:tcW w:type="dxa" w:w="3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Price % from 52W high, days since high</w:t>
            </w:r>
          </w:p>
        </w:tc>
      </w:tr>
      <w:tr>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Liquidity</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0</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39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42-day avg turnover (close × volume)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Multi-Timeframe Performance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c>
          <w:tcPr>
            <w:tcW w:type="dxa" w:w="3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12M, 6M, 3M returns (percentile)</w:t>
            </w:r>
          </w:p>
        </w:tc>
      </w:tr>
      <w:tr>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Relative Strength</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TBD</w:t>
            </w:r>
          </w:p>
        </w:tc>
        <w:tc>
          <w:tcPr>
            <w:tcW w:type="dxa" w:w="39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Stock return vs Nifty Smallcap 250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Sector Rating</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TBD</w:t>
            </w:r>
          </w:p>
        </w:tc>
        <w:tc>
          <w:tcPr>
            <w:tcW w:type="dxa" w:w="3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Sector peer performance concentration</w:t>
            </w:r>
          </w:p>
        </w:tc>
      </w:tr>
      <w:tr>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Volatility (21-Day ATR%)</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0</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39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ATR% percentile ranking</w:t>
            </w:r>
          </w:p>
        </w:tc>
      </w:tr>
    </w:tbl>
    <w:p>
      <w:r>
        <w:br w:type="page"/>
      </w:r>
    </w:p>
    <w:p>
      <w:pPr>
        <w:pStyle w:val="Heading1"/>
        <w:spacing w:after="120" w:before="240"/>
      </w:pPr>
      <w:r>
        <w:rPr>
          <w:rFonts w:ascii="Arial" w:cs="Arial" w:eastAsia="Arial" w:hAnsi="Arial"/>
          <w:b/>
          <w:bCs/>
          <w:sz w:val="32"/>
          <w:szCs w:val="32"/>
        </w:rPr>
        <w:t xml:space="preserve">5. Data Flow and Processing Pipeline</w:t>
      </w:r>
    </w:p>
    <w:p>
      <w:pPr>
        <w:pStyle w:val="Heading2"/>
        <w:spacing w:after="120" w:before="240"/>
      </w:pPr>
      <w:r>
        <w:rPr>
          <w:rFonts w:ascii="Arial" w:cs="Arial" w:eastAsia="Arial" w:hAnsi="Arial"/>
          <w:b/>
          <w:bCs/>
          <w:sz w:val="28"/>
          <w:szCs w:val="28"/>
        </w:rPr>
        <w:t xml:space="preserve">5.1 Initialization</w:t>
      </w:r>
    </w:p>
    <w:p>
      <w:pPr>
        <w:pStyle w:val="ListParagraph"/>
        <w:numPr>
          <w:ilvl w:val="0"/>
          <w:numId w:val="5"/>
        </w:numPr>
        <w:spacing w:after="80"/>
      </w:pPr>
      <w:r>
        <w:rPr>
          <w:rFonts w:ascii="Arial" w:cs="Arial" w:eastAsia="Arial" w:hAnsi="Arial"/>
          <w:sz w:val="20"/>
          <w:szCs w:val="20"/>
        </w:rPr>
        <w:t xml:space="preserve">Parse command-line arguments: cutoff_date and reset_date</w:t>
      </w:r>
    </w:p>
    <w:p>
      <w:pPr>
        <w:pStyle w:val="ListParagraph"/>
        <w:numPr>
          <w:ilvl w:val="0"/>
          <w:numId w:val="5"/>
        </w:numPr>
        <w:spacing w:after="80"/>
      </w:pPr>
      <w:r>
        <w:rPr>
          <w:rFonts w:ascii="Arial" w:cs="Arial" w:eastAsia="Arial" w:hAnsi="Arial"/>
          <w:sz w:val="20"/>
          <w:szCs w:val="20"/>
        </w:rPr>
        <w:t xml:space="preserve">Locate and read the symbol list file matching cutoff_date</w:t>
      </w:r>
    </w:p>
    <w:p>
      <w:pPr>
        <w:pStyle w:val="ListParagraph"/>
        <w:numPr>
          <w:ilvl w:val="0"/>
          <w:numId w:val="5"/>
        </w:numPr>
        <w:spacing w:after="80"/>
      </w:pPr>
      <w:r>
        <w:rPr>
          <w:rFonts w:ascii="Arial" w:cs="Arial" w:eastAsia="Arial" w:hAnsi="Arial"/>
          <w:sz w:val="20"/>
          <w:szCs w:val="20"/>
        </w:rPr>
        <w:t xml:space="preserve">Read kite_token.txt and initialize Kite Connect session</w:t>
      </w:r>
    </w:p>
    <w:p>
      <w:pPr>
        <w:pStyle w:val="ListParagraph"/>
        <w:numPr>
          <w:ilvl w:val="0"/>
          <w:numId w:val="5"/>
        </w:numPr>
        <w:spacing w:after="120"/>
      </w:pPr>
      <w:r>
        <w:rPr>
          <w:rFonts w:ascii="Arial" w:cs="Arial" w:eastAsia="Arial" w:hAnsi="Arial"/>
          <w:sz w:val="20"/>
          <w:szCs w:val="20"/>
        </w:rPr>
        <w:t xml:space="preserve">Connect to MySQL bhav database and load sector mappings and index data</w:t>
      </w:r>
    </w:p>
    <w:p>
      <w:pPr>
        <w:pStyle w:val="Heading2"/>
        <w:spacing w:after="120" w:before="240"/>
      </w:pPr>
      <w:r>
        <w:rPr>
          <w:rFonts w:ascii="Arial" w:cs="Arial" w:eastAsia="Arial" w:hAnsi="Arial"/>
          <w:b/>
          <w:bCs/>
          <w:sz w:val="28"/>
          <w:szCs w:val="28"/>
        </w:rPr>
        <w:t xml:space="preserve">5.2 Data Acquisition</w:t>
      </w:r>
    </w:p>
    <w:p>
      <w:pPr>
        <w:pStyle w:val="ListParagraph"/>
        <w:numPr>
          <w:ilvl w:val="0"/>
          <w:numId w:val="6"/>
        </w:numPr>
        <w:spacing w:after="80"/>
      </w:pPr>
      <w:r>
        <w:rPr>
          <w:rFonts w:ascii="Arial" w:cs="Arial" w:eastAsia="Arial" w:hAnsi="Arial"/>
          <w:sz w:val="20"/>
          <w:szCs w:val="20"/>
        </w:rPr>
        <w:t xml:space="preserve">Fetch NSE instrument list via kite.instruments("NSE") and build symbol-to-token mapping</w:t>
      </w:r>
    </w:p>
    <w:p>
      <w:pPr>
        <w:pStyle w:val="ListParagraph"/>
        <w:numPr>
          <w:ilvl w:val="0"/>
          <w:numId w:val="6"/>
        </w:numPr>
        <w:spacing w:after="80"/>
      </w:pPr>
      <w:r>
        <w:rPr>
          <w:rFonts w:ascii="Arial" w:cs="Arial" w:eastAsia="Arial" w:hAnsi="Arial"/>
          <w:sz w:val="20"/>
          <w:szCs w:val="20"/>
        </w:rPr>
        <w:t xml:space="preserve">For each symbol, fetch daily OHLC data via kite.historical_data() covering the full lookback period (min of reset_date and cutoff_date minus 365 days, with an extra 30-day buffer for indicator warm-up)</w:t>
      </w:r>
    </w:p>
    <w:p>
      <w:pPr>
        <w:pStyle w:val="ListParagraph"/>
        <w:numPr>
          <w:ilvl w:val="0"/>
          <w:numId w:val="6"/>
        </w:numPr>
        <w:spacing w:after="120"/>
      </w:pPr>
      <w:r>
        <w:rPr>
          <w:rFonts w:ascii="Arial" w:cs="Arial" w:eastAsia="Arial" w:hAnsi="Arial"/>
          <w:sz w:val="20"/>
          <w:szCs w:val="20"/>
        </w:rPr>
        <w:t xml:space="preserve">Fetch Nifty Smallcap 250 index data from the indexbhav table for the same period</w:t>
      </w:r>
    </w:p>
    <w:p>
      <w:pPr>
        <w:pStyle w:val="Heading2"/>
        <w:spacing w:after="120" w:before="240"/>
      </w:pPr>
      <w:r>
        <w:rPr>
          <w:rFonts w:ascii="Arial" w:cs="Arial" w:eastAsia="Arial" w:hAnsi="Arial"/>
          <w:b/>
          <w:bCs/>
          <w:sz w:val="28"/>
          <w:szCs w:val="28"/>
        </w:rPr>
        <w:t xml:space="preserve">5.3 Rating Computation</w:t>
      </w:r>
    </w:p>
    <w:p>
      <w:pPr>
        <w:pStyle w:val="ListParagraph"/>
        <w:numPr>
          <w:ilvl w:val="0"/>
          <w:numId w:val="7"/>
        </w:numPr>
        <w:spacing w:after="80"/>
      </w:pPr>
      <w:r>
        <w:rPr>
          <w:rFonts w:ascii="Arial" w:cs="Arial" w:eastAsia="Arial" w:hAnsi="Arial"/>
          <w:sz w:val="20"/>
          <w:szCs w:val="20"/>
        </w:rPr>
        <w:t xml:space="preserve">For each stock: compute 52-week high, proximity %, days since high, ATR%, turnover, and multi-timeframe returns</w:t>
      </w:r>
    </w:p>
    <w:p>
      <w:pPr>
        <w:pStyle w:val="ListParagraph"/>
        <w:numPr>
          <w:ilvl w:val="0"/>
          <w:numId w:val="7"/>
        </w:numPr>
        <w:spacing w:after="80"/>
      </w:pPr>
      <w:r>
        <w:rPr>
          <w:rFonts w:ascii="Arial" w:cs="Arial" w:eastAsia="Arial" w:hAnsi="Arial"/>
          <w:sz w:val="20"/>
          <w:szCs w:val="20"/>
        </w:rPr>
        <w:t xml:space="preserve">Compute percentile thresholds across the full universe for relative scoring (performance, liquidity, ATR)</w:t>
      </w:r>
    </w:p>
    <w:p>
      <w:pPr>
        <w:pStyle w:val="ListParagraph"/>
        <w:numPr>
          <w:ilvl w:val="0"/>
          <w:numId w:val="7"/>
        </w:numPr>
        <w:spacing w:after="80"/>
      </w:pPr>
      <w:r>
        <w:rPr>
          <w:rFonts w:ascii="Arial" w:cs="Arial" w:eastAsia="Arial" w:hAnsi="Arial"/>
          <w:sz w:val="20"/>
          <w:szCs w:val="20"/>
        </w:rPr>
        <w:t xml:space="preserve">Apply scoring rules from Section 3 to assign points per dimension</w:t>
      </w:r>
    </w:p>
    <w:p>
      <w:pPr>
        <w:pStyle w:val="ListParagraph"/>
        <w:numPr>
          <w:ilvl w:val="0"/>
          <w:numId w:val="7"/>
        </w:numPr>
        <w:spacing w:after="120"/>
      </w:pPr>
      <w:r>
        <w:rPr>
          <w:rFonts w:ascii="Arial" w:cs="Arial" w:eastAsia="Arial" w:hAnsi="Arial"/>
          <w:sz w:val="20"/>
          <w:szCs w:val="20"/>
        </w:rPr>
        <w:t xml:space="preserve">Sum all dimension scores to produce a composite score per stock</w:t>
      </w:r>
    </w:p>
    <w:p>
      <w:pPr>
        <w:pStyle w:val="Heading2"/>
        <w:spacing w:after="120" w:before="240"/>
      </w:pPr>
      <w:r>
        <w:rPr>
          <w:rFonts w:ascii="Arial" w:cs="Arial" w:eastAsia="Arial" w:hAnsi="Arial"/>
          <w:b/>
          <w:bCs/>
          <w:sz w:val="28"/>
          <w:szCs w:val="28"/>
        </w:rPr>
        <w:t xml:space="preserve">5.4 Output Generation</w:t>
      </w:r>
    </w:p>
    <w:p>
      <w:pPr>
        <w:spacing w:after="120"/>
      </w:pPr>
      <w:r>
        <w:rPr>
          <w:rFonts w:ascii="Arial" w:cs="Arial" w:eastAsia="Arial" w:hAnsi="Arial"/>
          <w:sz w:val="20"/>
          <w:szCs w:val="20"/>
        </w:rPr>
        <w:t xml:space="preserve">The application produces a ranked output (format TBD — Excel workbook recommended) with columns for each scoring dimension, individual point breakdowns, and the composite score. Stocks are sorted by composite score descending.</w:t>
      </w:r>
    </w:p>
    <w:p>
      <w:r>
        <w:br w:type="page"/>
      </w:r>
    </w:p>
    <w:p>
      <w:pPr>
        <w:pStyle w:val="Heading1"/>
        <w:spacing w:after="120" w:before="240"/>
      </w:pPr>
      <w:r>
        <w:rPr>
          <w:rFonts w:ascii="Arial" w:cs="Arial" w:eastAsia="Arial" w:hAnsi="Arial"/>
          <w:b/>
          <w:bCs/>
          <w:sz w:val="32"/>
          <w:szCs w:val="32"/>
        </w:rPr>
        <w:t xml:space="preserve">6. Technical Dependencies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920"/>
      </w:tblGrid>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w:t>
            </w:r>
          </w:p>
        </w:tc>
        <w:tc>
          <w:tcPr>
            <w:tcW w:type="dxa" w:w="3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Technology</w:t>
            </w:r>
          </w:p>
        </w:tc>
        <w:tc>
          <w:tcPr>
            <w:tcW w:type="dxa" w:w="39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Language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Python 3.8+</w:t>
            </w:r>
          </w:p>
        </w:tc>
        <w:tc>
          <w:tcPr>
            <w:tcW w:type="dxa" w:w="3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Application runtime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Market Data API</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Kite Connect (kiteconnect library)</w:t>
            </w:r>
          </w:p>
        </w:tc>
        <w:tc>
          <w:tcPr>
            <w:tcW w:type="dxa" w:w="39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Daily OHLC data and instrument mapping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MySQL 8.0 (mysql-connector-python)</w:t>
            </w:r>
          </w:p>
        </w:tc>
        <w:tc>
          <w:tcPr>
            <w:tcW w:type="dxa" w:w="3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Sector classification and index data</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Data Processing</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pandas, numpy</w:t>
            </w:r>
          </w:p>
        </w:tc>
        <w:tc>
          <w:tcPr>
            <w:tcW w:type="dxa" w:w="39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Data manipulation, percentile calculations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Output</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openpyxl</w:t>
            </w:r>
          </w:p>
        </w:tc>
        <w:tc>
          <w:tcPr>
            <w:tcW w:type="dxa" w:w="3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 workbook generation</w:t>
            </w:r>
          </w:p>
        </w:tc>
      </w:tr>
    </w:tbl>
    <w:p>
      <w:r>
        <w:br w:type="page"/>
      </w:r>
    </w:p>
    <w:p>
      <w:pPr>
        <w:pStyle w:val="Heading1"/>
        <w:spacing w:after="120" w:before="240"/>
      </w:pPr>
      <w:r>
        <w:rPr>
          <w:rFonts w:ascii="Arial" w:cs="Arial" w:eastAsia="Arial" w:hAnsi="Arial"/>
          <w:b/>
          <w:bCs/>
          <w:sz w:val="32"/>
          <w:szCs w:val="32"/>
        </w:rPr>
        <w:t xml:space="preserve">7. Error Handling and Edge Cases</w:t>
      </w:r>
    </w:p>
    <w:p>
      <w:pPr>
        <w:pStyle w:val="ListParagraph"/>
        <w:numPr>
          <w:ilvl w:val="0"/>
          <w:numId w:val="8"/>
        </w:numPr>
        <w:spacing w:after="80"/>
      </w:pPr>
      <w:r>
        <w:rPr>
          <w:rFonts w:ascii="Arial" w:cs="Arial" w:eastAsia="Arial" w:hAnsi="Arial"/>
          <w:sz w:val="20"/>
          <w:szCs w:val="20"/>
        </w:rPr>
        <w:t xml:space="preserve">Stale token warning: If kite_token.txt GENERATED timestamp is not from the current day, log a warning</w:t>
      </w:r>
    </w:p>
    <w:p>
      <w:pPr>
        <w:pStyle w:val="ListParagraph"/>
        <w:numPr>
          <w:ilvl w:val="0"/>
          <w:numId w:val="8"/>
        </w:numPr>
        <w:spacing w:after="80"/>
      </w:pPr>
      <w:r>
        <w:rPr>
          <w:rFonts w:ascii="Arial" w:cs="Arial" w:eastAsia="Arial" w:hAnsi="Arial"/>
          <w:sz w:val="20"/>
          <w:szCs w:val="20"/>
        </w:rPr>
        <w:t xml:space="preserve">Missing symbol data: If Kite API returns no data for a symbol, skip it and log a warning</w:t>
      </w:r>
    </w:p>
    <w:p>
      <w:pPr>
        <w:pStyle w:val="ListParagraph"/>
        <w:numPr>
          <w:ilvl w:val="0"/>
          <w:numId w:val="8"/>
        </w:numPr>
        <w:spacing w:after="80"/>
      </w:pPr>
      <w:r>
        <w:rPr>
          <w:rFonts w:ascii="Arial" w:cs="Arial" w:eastAsia="Arial" w:hAnsi="Arial"/>
          <w:sz w:val="20"/>
          <w:szCs w:val="20"/>
        </w:rPr>
        <w:t xml:space="preserve">Insufficient history: If a stock has fewer than 252 trading days of data, use available history for 52W high calculation</w:t>
      </w:r>
    </w:p>
    <w:p>
      <w:pPr>
        <w:pStyle w:val="ListParagraph"/>
        <w:numPr>
          <w:ilvl w:val="0"/>
          <w:numId w:val="8"/>
        </w:numPr>
        <w:spacing w:after="80"/>
      </w:pPr>
      <w:r>
        <w:rPr>
          <w:rFonts w:ascii="Arial" w:cs="Arial" w:eastAsia="Arial" w:hAnsi="Arial"/>
          <w:sz w:val="20"/>
          <w:szCs w:val="20"/>
        </w:rPr>
        <w:t xml:space="preserve">Database connection failure: Exit with descriptive error if MySQL connection to bhav database fails</w:t>
      </w:r>
    </w:p>
    <w:p>
      <w:pPr>
        <w:pStyle w:val="ListParagraph"/>
        <w:numPr>
          <w:ilvl w:val="0"/>
          <w:numId w:val="8"/>
        </w:numPr>
        <w:spacing w:after="120"/>
      </w:pPr>
      <w:r>
        <w:rPr>
          <w:rFonts w:ascii="Arial" w:cs="Arial" w:eastAsia="Arial" w:hAnsi="Arial"/>
          <w:sz w:val="20"/>
          <w:szCs w:val="20"/>
        </w:rPr>
        <w:t xml:space="preserve">Division by zero: Handle cases where prior close is zero or lookback period has no data when computing returns</w:t>
      </w:r>
    </w:p>
    <w:p>
      <w:pPr>
        <w:pStyle w:val="Heading1"/>
        <w:spacing w:after="120" w:before="240"/>
      </w:pPr>
      <w:r>
        <w:rPr>
          <w:rFonts w:ascii="Arial" w:cs="Arial" w:eastAsia="Arial" w:hAnsi="Arial"/>
          <w:b/>
          <w:bCs/>
          <w:sz w:val="32"/>
          <w:szCs w:val="32"/>
        </w:rPr>
        <w:t xml:space="preserve">8. Appendix: Point Values Quick Reference</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1320"/>
      </w:tblGrid>
      <w:tr>
        <w:tc>
          <w:tcPr>
            <w:tcW w:type="dxa" w:w="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Rule #</w:t>
            </w:r>
          </w:p>
        </w:tc>
        <w:tc>
          <w:tcPr>
            <w:tcW w:type="dxa" w:w="6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Criterion</w:t>
            </w:r>
          </w:p>
        </w:tc>
        <w:tc>
          <w:tcPr>
            <w:tcW w:type="dxa" w:w="13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Points</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Within 10% of 52W high</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Within 15% of 52W high</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Within 20% of 52W high</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52W high within 10 trading days</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52W high within 15 trading days</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Bonus: within 10% AND within 10 days</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Bonus: within 15% AND within 10 days</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42-day avg turnover bottom 30th pctile</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-8</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pctile 12-month return</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Top 30th pctile 12-month return</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pctile 6-month return</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Top 30th pctile 6-month return</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+2</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pctile 3-month return</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14</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Top 30th pctile 3-month return</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+2</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pctile 12M AND within 10 days of 52W high</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16</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21-day ATR% bottom 30th pctile</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-6</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Arial" w:cs="Arial" w:eastAsia="Arial" w:hAnsi="Arial"/>
        <w:i/>
        <w:iCs/>
        <w:color w:val="666666"/>
        <w:sz w:val="18"/>
        <w:szCs w:val="18"/>
      </w:rPr>
      <w:t xml:space="preserve">Stock Rating Application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8"/>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2026-04-11T08:15:34.294Z</dcterms:created>
  <dcterms:modified xsi:type="dcterms:W3CDTF">2026-04-11T08:15:34.294Z</dcterms:modified>
</cp:coreProperties>
</file>

<file path=docProps/custom.xml><?xml version="1.0" encoding="utf-8"?>
<Properties xmlns="http://schemas.openxmlformats.org/officeDocument/2006/custom-properties" xmlns:vt="http://schemas.openxmlformats.org/officeDocument/2006/docPropsVTypes"/>
</file>