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_health.png"/>
                    <pic:cNvPicPr/>
                  </pic:nvPicPr>
                  <pic:blipFill>
                    <a:blip r:embed="rId11"/>
                    <a:stretch>
                      <a:fillRect/>
                    </a:stretch>
                  </pic:blipFill>
                  <pic:spPr>
                    <a:xfrm>
                      <a:off x="0" y="0"/>
                      <a:ext cx="1828800" cy="1828800"/>
                    </a:xfrm>
                    <a:prstGeom prst="rect"/>
                  </pic:spPr>
                </pic:pic>
              </a:graphicData>
            </a:graphic>
          </wp:inline>
        </w:drawing>
      </w:r>
    </w:p>
    <w:p/>
    <w:p>
      <w:pPr>
        <w:jc w:val="center"/>
      </w:pPr>
      <w:r>
        <w:rPr>
          <w:b/>
          <w:color w:val="0F766E"/>
          <w:sz w:val="40"/>
        </w:rPr>
        <w:t>MediHeal Diagnostics LLP</w:t>
      </w:r>
    </w:p>
    <w:p>
      <w:pPr>
        <w:jc w:val="center"/>
      </w:pPr>
      <w:r>
        <w:rPr>
          <w:b/>
          <w:sz w:val="52"/>
        </w:rPr>
        <w:t>Information Security Policy</w:t>
      </w:r>
    </w:p>
    <w:p>
      <w:pPr>
        <w:jc w:val="center"/>
      </w:pPr>
      <w:r>
        <w:rPr>
          <w:i/>
          <w:sz w:val="24"/>
        </w:rPr>
        <w:t>ISO/IEC 27001:2022</w:t>
      </w:r>
    </w:p>
    <w:p/>
    <w:p>
      <w:pPr>
        <w:jc w:val="center"/>
      </w:pPr>
      <w:r>
        <w:rPr>
          <w:sz w:val="22"/>
        </w:rPr>
        <w:t>Document ID: ISMS-POL-001</w:t>
        <w:br/>
        <w:t>Version: 1.0</w:t>
        <w:br/>
        <w:t>Effective Date: 15 Jan 2026</w:t>
        <w:br/>
        <w:t>Classification: Restricted</w:t>
      </w:r>
    </w:p>
    <w:p>
      <w:r>
        <w:br w:type="page"/>
      </w:r>
    </w:p>
    <w:p>
      <w:r>
        <w:rPr>
          <w:b/>
          <w:color w:val="0F766E"/>
          <w:sz w:val="30"/>
        </w:rPr>
        <w:t>Document Control</w:t>
      </w:r>
    </w:p>
    <w:tbl>
      <w:tblPr>
        <w:tblStyle w:val="TableGrid"/>
        <w:tblW w:type="auto" w:w="0"/>
        <w:tblLook w:firstColumn="1" w:firstRow="1" w:lastColumn="0" w:lastRow="0" w:noHBand="0" w:noVBand="1" w:val="04A0"/>
      </w:tblPr>
      <w:tblGrid>
        <w:gridCol w:w="4320"/>
        <w:gridCol w:w="4320"/>
      </w:tblGrid>
      <w:tr>
        <w:tc>
          <w:tcPr>
            <w:tcW w:type="dxa" w:w="4320"/>
            <w:shd w:val="clear" w:color="auto" w:fill="0F766E"/>
          </w:tcPr>
          <w:p>
            <w:r>
              <w:rPr>
                <w:b/>
                <w:color w:val="FFFFFF"/>
              </w:rPr>
              <w:t>Document Title</w:t>
            </w:r>
          </w:p>
        </w:tc>
        <w:tc>
          <w:tcPr>
            <w:tcW w:type="dxa" w:w="4320"/>
          </w:tcPr>
          <w:p>
            <w:r>
              <w:t>Information Security Policy</w:t>
            </w:r>
          </w:p>
        </w:tc>
      </w:tr>
      <w:tr>
        <w:tc>
          <w:tcPr>
            <w:tcW w:type="dxa" w:w="4320"/>
            <w:shd w:val="clear" w:color="auto" w:fill="0F766E"/>
          </w:tcPr>
          <w:p>
            <w:r>
              <w:rPr>
                <w:b/>
                <w:color w:val="FFFFFF"/>
              </w:rPr>
              <w:t>Document ID</w:t>
            </w:r>
          </w:p>
        </w:tc>
        <w:tc>
          <w:tcPr>
            <w:tcW w:type="dxa" w:w="4320"/>
          </w:tcPr>
          <w:p>
            <w:r>
              <w:t>ISMS-POL-001</w:t>
            </w:r>
          </w:p>
        </w:tc>
      </w:tr>
      <w:tr>
        <w:tc>
          <w:tcPr>
            <w:tcW w:type="dxa" w:w="4320"/>
            <w:shd w:val="clear" w:color="auto" w:fill="0F766E"/>
          </w:tcPr>
          <w:p>
            <w:r>
              <w:rPr>
                <w:b/>
                <w:color w:val="FFFFFF"/>
              </w:rPr>
              <w:t>Version</w:t>
            </w:r>
          </w:p>
        </w:tc>
        <w:tc>
          <w:tcPr>
            <w:tcW w:type="dxa" w:w="4320"/>
          </w:tcPr>
          <w:p>
            <w:r>
              <w:t>1.0</w:t>
            </w:r>
          </w:p>
        </w:tc>
      </w:tr>
      <w:tr>
        <w:tc>
          <w:tcPr>
            <w:tcW w:type="dxa" w:w="4320"/>
            <w:shd w:val="clear" w:color="auto" w:fill="0F766E"/>
          </w:tcPr>
          <w:p>
            <w:r>
              <w:rPr>
                <w:b/>
                <w:color w:val="FFFFFF"/>
              </w:rPr>
              <w:t>Standard</w:t>
            </w:r>
          </w:p>
        </w:tc>
        <w:tc>
          <w:tcPr>
            <w:tcW w:type="dxa" w:w="4320"/>
          </w:tcPr>
          <w:p>
            <w:r>
              <w:t>ISO/IEC 27001:2022</w:t>
            </w:r>
          </w:p>
        </w:tc>
      </w:tr>
      <w:tr>
        <w:tc>
          <w:tcPr>
            <w:tcW w:type="dxa" w:w="4320"/>
            <w:shd w:val="clear" w:color="auto" w:fill="0F766E"/>
          </w:tcPr>
          <w:p>
            <w:r>
              <w:rPr>
                <w:b/>
                <w:color w:val="FFFFFF"/>
              </w:rPr>
              <w:t>Clause / Control Reference</w:t>
            </w:r>
          </w:p>
        </w:tc>
        <w:tc>
          <w:tcPr>
            <w:tcW w:type="dxa" w:w="4320"/>
          </w:tcPr>
          <w:p>
            <w:r>
              <w:t>5.2, 5.1, A.5.1</w:t>
            </w:r>
          </w:p>
        </w:tc>
      </w:tr>
      <w:tr>
        <w:tc>
          <w:tcPr>
            <w:tcW w:type="dxa" w:w="4320"/>
            <w:shd w:val="clear" w:color="auto" w:fill="0F766E"/>
          </w:tcPr>
          <w:p>
            <w:r>
              <w:rPr>
                <w:b/>
                <w:color w:val="FFFFFF"/>
              </w:rPr>
              <w:t>Classification</w:t>
            </w:r>
          </w:p>
        </w:tc>
        <w:tc>
          <w:tcPr>
            <w:tcW w:type="dxa" w:w="4320"/>
          </w:tcPr>
          <w:p>
            <w:r>
              <w:t>Restricted</w:t>
            </w:r>
          </w:p>
        </w:tc>
      </w:tr>
      <w:tr>
        <w:tc>
          <w:tcPr>
            <w:tcW w:type="dxa" w:w="4320"/>
            <w:shd w:val="clear" w:color="auto" w:fill="0F766E"/>
          </w:tcPr>
          <w:p>
            <w:r>
              <w:rPr>
                <w:b/>
                <w:color w:val="FFFFFF"/>
              </w:rPr>
              <w:t>Effective Date</w:t>
            </w:r>
          </w:p>
        </w:tc>
        <w:tc>
          <w:tcPr>
            <w:tcW w:type="dxa" w:w="4320"/>
          </w:tcPr>
          <w:p>
            <w:r>
              <w:t>15 Jan 2026</w:t>
            </w:r>
          </w:p>
        </w:tc>
      </w:tr>
      <w:tr>
        <w:tc>
          <w:tcPr>
            <w:tcW w:type="dxa" w:w="4320"/>
            <w:shd w:val="clear" w:color="auto" w:fill="0F766E"/>
          </w:tcPr>
          <w:p>
            <w:r>
              <w:rPr>
                <w:b/>
                <w:color w:val="FFFFFF"/>
              </w:rPr>
              <w:t>Next Review Date</w:t>
            </w:r>
          </w:p>
        </w:tc>
        <w:tc>
          <w:tcPr>
            <w:tcW w:type="dxa" w:w="4320"/>
          </w:tcPr>
          <w:p>
            <w:r>
              <w:t>15 Jan 2027</w:t>
            </w:r>
          </w:p>
        </w:tc>
      </w:tr>
      <w:tr>
        <w:tc>
          <w:tcPr>
            <w:tcW w:type="dxa" w:w="4320"/>
            <w:shd w:val="clear" w:color="auto" w:fill="0F766E"/>
          </w:tcPr>
          <w:p>
            <w:r>
              <w:rPr>
                <w:b/>
                <w:color w:val="FFFFFF"/>
              </w:rPr>
              <w:t>Document Owner</w:t>
            </w:r>
          </w:p>
        </w:tc>
        <w:tc>
          <w:tcPr>
            <w:tcW w:type="dxa" w:w="4320"/>
          </w:tcPr>
          <w:p>
            <w:r>
              <w:t>Dr. Suresh Kumar</w:t>
            </w:r>
          </w:p>
        </w:tc>
      </w:tr>
      <w:tr>
        <w:tc>
          <w:tcPr>
            <w:tcW w:type="dxa" w:w="4320"/>
            <w:shd w:val="clear" w:color="auto" w:fill="0F766E"/>
          </w:tcPr>
          <w:p>
            <w:r>
              <w:rPr>
                <w:b/>
                <w:color w:val="FFFFFF"/>
              </w:rPr>
              <w:t>Reviewed By</w:t>
            </w:r>
          </w:p>
        </w:tc>
        <w:tc>
          <w:tcPr>
            <w:tcW w:type="dxa" w:w="4320"/>
          </w:tcPr>
          <w:p>
            <w:r>
              <w:t>Lakshmi Nair</w:t>
            </w:r>
          </w:p>
        </w:tc>
      </w:tr>
      <w:tr>
        <w:tc>
          <w:tcPr>
            <w:tcW w:type="dxa" w:w="4320"/>
            <w:shd w:val="clear" w:color="auto" w:fill="0F766E"/>
          </w:tcPr>
          <w:p>
            <w:r>
              <w:rPr>
                <w:b/>
                <w:color w:val="FFFFFF"/>
              </w:rPr>
              <w:t>Approved By</w:t>
            </w:r>
          </w:p>
        </w:tc>
        <w:tc>
          <w:tcPr>
            <w:tcW w:type="dxa" w:w="4320"/>
          </w:tcPr>
          <w:p>
            <w:r>
              <w:t>Dr. Ramesh Iyer</w:t>
            </w:r>
          </w:p>
        </w:tc>
      </w:tr>
      <w:tr>
        <w:tc>
          <w:tcPr>
            <w:tcW w:type="dxa" w:w="4320"/>
            <w:shd w:val="clear" w:color="auto" w:fill="0F766E"/>
          </w:tcPr>
          <w:p>
            <w:r>
              <w:rPr>
                <w:b/>
                <w:color w:val="FFFFFF"/>
              </w:rPr>
              <w:t>Prepared By</w:t>
            </w:r>
          </w:p>
        </w:tc>
        <w:tc>
          <w:tcPr>
            <w:tcW w:type="dxa" w:w="4320"/>
          </w:tcPr>
          <w:p>
            <w:r>
              <w:t>Dr. Suresh Kumar</w:t>
            </w:r>
          </w:p>
        </w:tc>
      </w:tr>
    </w:tbl>
    <w:p/>
    <w:p>
      <w:r>
        <w:rPr>
          <w:b/>
          <w:color w:val="0F766E"/>
          <w:sz w:val="24"/>
        </w:rPr>
        <w:t>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766E"/>
          </w:tcPr>
          <w:p>
            <w:r>
              <w:rPr>
                <w:b/>
                <w:color w:val="FFFFFF"/>
              </w:rPr>
              <w:t>Version</w:t>
            </w:r>
          </w:p>
        </w:tc>
        <w:tc>
          <w:tcPr>
            <w:tcW w:type="dxa" w:w="2160"/>
            <w:shd w:val="clear" w:color="auto" w:fill="0F766E"/>
          </w:tcPr>
          <w:p>
            <w:r>
              <w:rPr>
                <w:b/>
                <w:color w:val="FFFFFF"/>
              </w:rPr>
              <w:t>Date</w:t>
            </w:r>
          </w:p>
        </w:tc>
        <w:tc>
          <w:tcPr>
            <w:tcW w:type="dxa" w:w="2160"/>
            <w:shd w:val="clear" w:color="auto" w:fill="0F766E"/>
          </w:tcPr>
          <w:p>
            <w:r>
              <w:rPr>
                <w:b/>
                <w:color w:val="FFFFFF"/>
              </w:rPr>
              <w:t>Description of Change</w:t>
            </w:r>
          </w:p>
        </w:tc>
        <w:tc>
          <w:tcPr>
            <w:tcW w:type="dxa" w:w="2160"/>
            <w:shd w:val="clear" w:color="auto" w:fill="0F766E"/>
          </w:tcPr>
          <w:p>
            <w:r>
              <w:rPr>
                <w:b/>
                <w:color w:val="FFFFFF"/>
              </w:rPr>
              <w:t>Author</w:t>
            </w:r>
          </w:p>
        </w:tc>
      </w:tr>
      <w:tr>
        <w:tc>
          <w:tcPr>
            <w:tcW w:type="dxa" w:w="2160"/>
          </w:tcPr>
          <w:p>
            <w:r>
              <w:t>1.0</w:t>
            </w:r>
          </w:p>
        </w:tc>
        <w:tc>
          <w:tcPr>
            <w:tcW w:type="dxa" w:w="2160"/>
          </w:tcPr>
          <w:p>
            <w:r>
              <w:t>15 Jan 2026</w:t>
            </w:r>
          </w:p>
        </w:tc>
        <w:tc>
          <w:tcPr>
            <w:tcW w:type="dxa" w:w="2160"/>
          </w:tcPr>
          <w:p>
            <w:r>
              <w:t>Initial issue.</w:t>
            </w:r>
          </w:p>
        </w:tc>
        <w:tc>
          <w:tcPr>
            <w:tcW w:type="dxa" w:w="2160"/>
          </w:tcPr>
          <w:p>
            <w:r>
              <w:t>Dr. Suresh Kumar</w:t>
            </w:r>
          </w:p>
        </w:tc>
      </w:tr>
    </w:tbl>
    <w:p/>
    <w:p>
      <w:r>
        <w:rPr>
          <w:b/>
          <w:color w:val="0F766E"/>
          <w:sz w:val="30"/>
        </w:rPr>
        <w:t>Purpose</w:t>
      </w:r>
    </w:p>
    <w:p>
      <w:r>
        <w:t>This Information Security Policy establishes MediHeal Diagnostics LLP's commitment to protecting the confidentiality, integrity and availability of information assets used to deliver Diagnostic laboratory and imaging services. It applies across Chennai Main Lab, Coimbatore Collection Center, Madurai Center.</w:t>
      </w:r>
    </w:p>
    <w:p/>
    <w:p>
      <w:r>
        <w:rPr>
          <w:b/>
          <w:color w:val="0F766E"/>
          <w:sz w:val="30"/>
        </w:rPr>
        <w:t>Scope</w:t>
      </w:r>
    </w:p>
    <w:p>
      <w:r>
        <w:t>This policy applies to all employees, contractors and third parties of MediHeal (approximately 48 personnel) operating within the defined ISMS scope.</w:t>
      </w:r>
    </w:p>
    <w:p/>
    <w:p>
      <w:r>
        <w:rPr>
          <w:b/>
          <w:color w:val="0F766E"/>
          <w:sz w:val="30"/>
        </w:rPr>
        <w:t>Policy Statements</w:t>
      </w:r>
    </w:p>
    <w:p>
      <w:r>
        <w:t>MediHeal shall:</w:t>
      </w:r>
    </w:p>
    <w:p>
      <w:pPr>
        <w:pStyle w:val="ListBullet"/>
        <w:spacing w:after="40"/>
      </w:pPr>
      <w:r>
        <w:t>Manage information security risks in line with a documented methodology.</w:t>
      </w:r>
    </w:p>
    <w:p>
      <w:pPr>
        <w:pStyle w:val="ListBullet"/>
        <w:spacing w:after="40"/>
      </w:pPr>
      <w:r>
        <w:t>Ensure compliance with applicable legal, regulatory and contractual obligations.</w:t>
      </w:r>
    </w:p>
    <w:p>
      <w:pPr>
        <w:pStyle w:val="ListBullet"/>
        <w:spacing w:after="40"/>
      </w:pPr>
      <w:r>
        <w:t>Provide security awareness training to all personnel.</w:t>
      </w:r>
    </w:p>
    <w:p>
      <w:pPr>
        <w:pStyle w:val="ListBullet"/>
        <w:spacing w:after="40"/>
      </w:pPr>
      <w:r>
        <w:t>Maintain, review and continually improve the ISMS.</w:t>
      </w:r>
    </w:p>
    <w:p/>
    <w:p>
      <w:r>
        <w:rPr>
          <w:b/>
          <w:color w:val="0F766E"/>
          <w:sz w:val="30"/>
        </w:rPr>
        <w:t>Roles and Responsibilities</w:t>
      </w:r>
    </w:p>
    <w:p>
      <w:r>
        <w:t>Top management (Dr. Ramesh Iyer (Managing Partner)) is accountable for the ISMS. The ISMS Manager (Dr. Suresh Kumar) is responsible for day-to-day operation. The Internal Auditor (Lakshmi Nair) independently audits the ISMS.</w:t>
      </w:r>
    </w:p>
    <w:p/>
    <w:p>
      <w:r>
        <w:rPr>
          <w:b/>
          <w:color w:val="0F766E"/>
          <w:sz w:val="30"/>
        </w:rPr>
        <w:t>Roles and Responsibilities</w:t>
      </w:r>
    </w:p>
    <w:tbl>
      <w:tblPr>
        <w:tblStyle w:val="TableGrid"/>
        <w:tblW w:type="auto" w:w="0"/>
        <w:tblLook w:firstColumn="1" w:firstRow="1" w:lastColumn="0" w:lastRow="0" w:noHBand="0" w:noVBand="1" w:val="04A0"/>
      </w:tblPr>
      <w:tblGrid>
        <w:gridCol w:w="4320"/>
        <w:gridCol w:w="4320"/>
      </w:tblGrid>
      <w:tr>
        <w:tc>
          <w:tcPr>
            <w:tcW w:type="dxa" w:w="4320"/>
            <w:shd w:val="clear" w:color="auto" w:fill="0F766E"/>
          </w:tcPr>
          <w:p>
            <w:r>
              <w:rPr>
                <w:b/>
                <w:color w:val="FFFFFF"/>
              </w:rPr>
              <w:t>Role</w:t>
            </w:r>
          </w:p>
        </w:tc>
        <w:tc>
          <w:tcPr>
            <w:tcW w:type="dxa" w:w="4320"/>
            <w:shd w:val="clear" w:color="auto" w:fill="0F766E"/>
          </w:tcPr>
          <w:p>
            <w:r>
              <w:rPr>
                <w:b/>
                <w:color w:val="FFFFFF"/>
              </w:rPr>
              <w:t>Responsibility</w:t>
            </w:r>
          </w:p>
        </w:tc>
      </w:tr>
      <w:tr>
        <w:tc>
          <w:tcPr>
            <w:tcW w:type="dxa" w:w="4320"/>
          </w:tcPr>
          <w:p>
            <w:r>
              <w:t>Dr. Ramesh Iyer (Managing Partner)</w:t>
            </w:r>
          </w:p>
        </w:tc>
        <w:tc>
          <w:tcPr>
            <w:tcW w:type="dxa" w:w="4320"/>
          </w:tcPr>
          <w:p>
            <w:r>
              <w:t>Overall accountability and resource provision for the ISMS.</w:t>
            </w:r>
          </w:p>
        </w:tc>
      </w:tr>
      <w:tr>
        <w:tc>
          <w:tcPr>
            <w:tcW w:type="dxa" w:w="4320"/>
          </w:tcPr>
          <w:p>
            <w:r>
              <w:t>Dr. Suresh Kumar</w:t>
            </w:r>
          </w:p>
        </w:tc>
        <w:tc>
          <w:tcPr>
            <w:tcW w:type="dxa" w:w="4320"/>
          </w:tcPr>
          <w:p>
            <w:r>
              <w:t>Operation, monitoring and maintenance of the ISMS.</w:t>
            </w:r>
          </w:p>
        </w:tc>
      </w:tr>
      <w:tr>
        <w:tc>
          <w:tcPr>
            <w:tcW w:type="dxa" w:w="4320"/>
          </w:tcPr>
          <w:p>
            <w:r>
              <w:t>All personnel</w:t>
            </w:r>
          </w:p>
        </w:tc>
        <w:tc>
          <w:tcPr>
            <w:tcW w:type="dxa" w:w="4320"/>
          </w:tcPr>
          <w:p>
            <w:r>
              <w:t>Compliance with security policies and reporting of incidents.</w:t>
            </w:r>
          </w:p>
        </w:tc>
      </w:tr>
    </w:tbl>
    <w:p/>
    <w:p>
      <w:r>
        <w:rPr>
          <w:b/>
          <w:color w:val="0F766E"/>
          <w:sz w:val="30"/>
        </w:rPr>
        <w:t>Monitoring and KPIs</w:t>
      </w:r>
    </w:p>
    <w:p>
      <w:pPr>
        <w:pStyle w:val="ListBullet"/>
      </w:pPr>
      <w:r>
        <w:t>Percentage of staff completing annual security awareness training (target 100%).</w:t>
      </w:r>
    </w:p>
    <w:p>
      <w:pPr>
        <w:pStyle w:val="ListBullet"/>
      </w:pPr>
      <w:r>
        <w:t>Number of security incidents resolved within SLA (target 95%).</w:t>
      </w:r>
    </w:p>
    <w:p/>
    <w:p>
      <w:r>
        <w:rPr>
          <w:b/>
          <w:color w:val="0F766E"/>
          <w:sz w:val="30"/>
        </w:rPr>
        <w:t>Common Nonconformities</w:t>
      </w:r>
    </w:p>
    <w:p>
      <w:pPr>
        <w:pStyle w:val="ListBullet"/>
      </w:pPr>
      <w:r>
        <w:t>Policy not reviewed within the defined review period.</w:t>
      </w:r>
    </w:p>
    <w:p>
      <w:pPr>
        <w:pStyle w:val="ListBullet"/>
      </w:pPr>
      <w:r>
        <w:t>No evidence of top-management approval.</w:t>
      </w:r>
    </w:p>
    <w:p>
      <w:pPr>
        <w:pStyle w:val="ListBullet"/>
      </w:pPr>
      <w:r>
        <w:t>Awareness training records incomplete.</w:t>
      </w:r>
    </w:p>
    <w:p/>
    <w:p>
      <w:r>
        <w:rPr>
          <w:b/>
          <w:color w:val="0F766E"/>
          <w:sz w:val="30"/>
        </w:rPr>
        <w:t>Internal Audit Questions</w:t>
      </w:r>
    </w:p>
    <w:p>
      <w:pPr>
        <w:pStyle w:val="ListNumber"/>
      </w:pPr>
      <w:r>
        <w:t>Has the information security policy been approved by top management?</w:t>
      </w:r>
    </w:p>
    <w:p>
      <w:pPr>
        <w:pStyle w:val="ListNumber"/>
      </w:pPr>
      <w:r>
        <w:t>Is the policy communicated to all relevant personnel?</w:t>
      </w:r>
    </w:p>
    <w:p>
      <w:pPr>
        <w:pStyle w:val="ListNumber"/>
      </w:pPr>
      <w:r>
        <w:t>Is there evidence of periodic review?</w:t>
      </w:r>
    </w:p>
    <w:p/>
    <w:p>
      <w:r>
        <w:rPr>
          <w:b/>
          <w:color w:val="0F766E"/>
          <w:sz w:val="30"/>
        </w:rPr>
        <w:t>Related Documents</w:t>
      </w:r>
    </w:p>
    <w:p>
      <w:pPr>
        <w:pStyle w:val="ListBullet"/>
      </w:pPr>
      <w:r>
        <w:t>ISMS Scope (ISMS-DOC-002)</w:t>
      </w:r>
    </w:p>
    <w:p>
      <w:pPr>
        <w:pStyle w:val="ListBullet"/>
      </w:pPr>
      <w:r>
        <w:t>Risk Assessment Methodology (ISMS-PROC-003)</w:t>
      </w:r>
    </w:p>
    <w:p>
      <w:pPr>
        <w:pStyle w:val="ListBullet"/>
      </w:pPr>
      <w:r>
        <w:t>Statement of Applicability (ISMS-DOC-010)</w:t>
      </w:r>
    </w:p>
    <w:p/>
    <w:p>
      <w:r>
        <w:rPr>
          <w:b/>
          <w:color w:val="0F766E"/>
          <w:sz w:val="30"/>
        </w:rP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766E"/>
          </w:tcPr>
          <w:p>
            <w:r>
              <w:rPr>
                <w:b/>
                <w:color w:val="FFFFFF"/>
              </w:rPr>
              <w:t>Action</w:t>
            </w:r>
          </w:p>
        </w:tc>
        <w:tc>
          <w:tcPr>
            <w:tcW w:type="dxa" w:w="2160"/>
            <w:shd w:val="clear" w:color="auto" w:fill="0F766E"/>
          </w:tcPr>
          <w:p>
            <w:r>
              <w:rPr>
                <w:b/>
                <w:color w:val="FFFFFF"/>
              </w:rPr>
              <w:t>Name</w:t>
            </w:r>
          </w:p>
        </w:tc>
        <w:tc>
          <w:tcPr>
            <w:tcW w:type="dxa" w:w="2160"/>
            <w:shd w:val="clear" w:color="auto" w:fill="0F766E"/>
          </w:tcPr>
          <w:p>
            <w:r>
              <w:rPr>
                <w:b/>
                <w:color w:val="FFFFFF"/>
              </w:rPr>
              <w:t>Role</w:t>
            </w:r>
          </w:p>
        </w:tc>
        <w:tc>
          <w:tcPr>
            <w:tcW w:type="dxa" w:w="2160"/>
            <w:shd w:val="clear" w:color="auto" w:fill="0F766E"/>
          </w:tcPr>
          <w:p>
            <w:r>
              <w:rPr>
                <w:b/>
                <w:color w:val="FFFFFF"/>
              </w:rPr>
              <w:t>Date</w:t>
            </w:r>
          </w:p>
        </w:tc>
      </w:tr>
      <w:tr>
        <w:tc>
          <w:tcPr>
            <w:tcW w:type="dxa" w:w="2160"/>
          </w:tcPr>
          <w:p>
            <w:r>
              <w:t>Prepared</w:t>
            </w:r>
          </w:p>
        </w:tc>
        <w:tc>
          <w:tcPr>
            <w:tcW w:type="dxa" w:w="2160"/>
          </w:tcPr>
          <w:p>
            <w:r>
              <w:t>Dr. Suresh Kumar</w:t>
            </w:r>
          </w:p>
        </w:tc>
        <w:tc>
          <w:tcPr>
            <w:tcW w:type="dxa" w:w="2160"/>
          </w:tcPr>
          <w:p>
            <w:r/>
          </w:p>
        </w:tc>
        <w:tc>
          <w:tcPr>
            <w:tcW w:type="dxa" w:w="2160"/>
          </w:tcPr>
          <w:p>
            <w:r>
              <w:t>15 Jan 2026</w:t>
            </w:r>
          </w:p>
        </w:tc>
      </w:tr>
      <w:tr>
        <w:tc>
          <w:tcPr>
            <w:tcW w:type="dxa" w:w="2160"/>
          </w:tcPr>
          <w:p>
            <w:r>
              <w:t>Reviewed</w:t>
            </w:r>
          </w:p>
        </w:tc>
        <w:tc>
          <w:tcPr>
            <w:tcW w:type="dxa" w:w="2160"/>
          </w:tcPr>
          <w:p>
            <w:r>
              <w:t>Lakshmi Nair</w:t>
            </w:r>
          </w:p>
        </w:tc>
        <w:tc>
          <w:tcPr>
            <w:tcW w:type="dxa" w:w="2160"/>
          </w:tcPr>
          <w:p>
            <w:r/>
          </w:p>
        </w:tc>
        <w:tc>
          <w:tcPr>
            <w:tcW w:type="dxa" w:w="2160"/>
          </w:tcPr>
          <w:p>
            <w:r>
              <w:t>15 Jan 2026</w:t>
            </w:r>
          </w:p>
        </w:tc>
      </w:tr>
      <w:tr>
        <w:tc>
          <w:tcPr>
            <w:tcW w:type="dxa" w:w="2160"/>
          </w:tcPr>
          <w:p>
            <w:r>
              <w:t>Approved</w:t>
            </w:r>
          </w:p>
        </w:tc>
        <w:tc>
          <w:tcPr>
            <w:tcW w:type="dxa" w:w="2160"/>
          </w:tcPr>
          <w:p>
            <w:r>
              <w:t>Dr. Ramesh Iyer</w:t>
            </w:r>
          </w:p>
        </w:tc>
        <w:tc>
          <w:tcPr>
            <w:tcW w:type="dxa" w:w="2160"/>
          </w:tcPr>
          <w:p>
            <w:r/>
          </w:p>
        </w:tc>
        <w:tc>
          <w:tcPr>
            <w:tcW w:type="dxa" w:w="2160"/>
          </w:tcPr>
          <w:p>
            <w:r>
              <w:t>15 Jan 2026</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Document ID: ISMS-POL-001   |   Version: 1.0   |   Classification: Restricted   |   MediHeal Diagnostics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87878"/>
        <w:sz w:val="16"/>
      </w:rPr>
      <w:t>MediHeal  |  Information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