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logo_saas.png"/>
                    <pic:cNvPicPr/>
                  </pic:nvPicPr>
                  <pic:blipFill>
                    <a:blip r:embed="rId11"/>
                    <a:stretch>
                      <a:fillRect/>
                    </a:stretch>
                  </pic:blipFill>
                  <pic:spPr>
                    <a:xfrm>
                      <a:off x="0" y="0"/>
                      <a:ext cx="1828800" cy="1828800"/>
                    </a:xfrm>
                    <a:prstGeom prst="rect"/>
                  </pic:spPr>
                </pic:pic>
              </a:graphicData>
            </a:graphic>
          </wp:inline>
        </w:drawing>
      </w:r>
    </w:p>
    <w:p/>
    <w:p>
      <w:pPr>
        <w:jc w:val="center"/>
      </w:pPr>
      <w:r>
        <w:rPr>
          <w:b/>
          <w:color w:val="2563EB"/>
          <w:sz w:val="40"/>
        </w:rPr>
        <w:t>AcmeCloud Technologies Private Limited</w:t>
      </w:r>
    </w:p>
    <w:p>
      <w:pPr>
        <w:jc w:val="center"/>
      </w:pPr>
      <w:r>
        <w:rPr>
          <w:b/>
          <w:sz w:val="52"/>
        </w:rPr>
        <w:t>Data Protection Governance Policy</w:t>
      </w:r>
    </w:p>
    <w:p>
      <w:pPr>
        <w:jc w:val="center"/>
      </w:pPr>
      <w:r>
        <w:rPr>
          <w:i/>
          <w:sz w:val="24"/>
        </w:rPr>
        <w:t>India DPDP Act 2023 &amp; DPDP Rules 2025</w:t>
      </w:r>
    </w:p>
    <w:p/>
    <w:p>
      <w:pPr>
        <w:jc w:val="center"/>
      </w:pPr>
      <w:r>
        <w:rPr>
          <w:sz w:val="22"/>
        </w:rPr>
        <w:t>Document ID: DPDP-POL-001</w:t>
        <w:br/>
        <w:t>Version: 1.0</w:t>
        <w:br/>
        <w:t>Effective Date: 01 Feb 2026</w:t>
        <w:br/>
        <w:t>Classification: Confidential</w:t>
      </w:r>
    </w:p>
    <w:p>
      <w:r>
        <w:br w:type="page"/>
      </w:r>
    </w:p>
    <w:p>
      <w:r>
        <w:rPr>
          <w:b/>
          <w:color w:val="2563EB"/>
          <w:sz w:val="30"/>
        </w:rPr>
        <w:t>Document Control</w:t>
      </w:r>
    </w:p>
    <w:tbl>
      <w:tblPr>
        <w:tblStyle w:val="TableGrid"/>
        <w:tblW w:type="auto" w:w="0"/>
        <w:tblLook w:firstColumn="1" w:firstRow="1" w:lastColumn="0" w:lastRow="0" w:noHBand="0" w:noVBand="1" w:val="04A0"/>
      </w:tblPr>
      <w:tblGrid>
        <w:gridCol w:w="4320"/>
        <w:gridCol w:w="4320"/>
      </w:tblGrid>
      <w:tr>
        <w:tc>
          <w:tcPr>
            <w:tcW w:type="dxa" w:w="4320"/>
            <w:shd w:val="clear" w:color="auto" w:fill="2563EB"/>
          </w:tcPr>
          <w:p>
            <w:r>
              <w:rPr>
                <w:b/>
                <w:color w:val="FFFFFF"/>
              </w:rPr>
              <w:t>Document Title</w:t>
            </w:r>
          </w:p>
        </w:tc>
        <w:tc>
          <w:tcPr>
            <w:tcW w:type="dxa" w:w="4320"/>
          </w:tcPr>
          <w:p>
            <w:r>
              <w:t>Data Protection Governance Policy</w:t>
            </w:r>
          </w:p>
        </w:tc>
      </w:tr>
      <w:tr>
        <w:tc>
          <w:tcPr>
            <w:tcW w:type="dxa" w:w="4320"/>
            <w:shd w:val="clear" w:color="auto" w:fill="2563EB"/>
          </w:tcPr>
          <w:p>
            <w:r>
              <w:rPr>
                <w:b/>
                <w:color w:val="FFFFFF"/>
              </w:rPr>
              <w:t>Document ID</w:t>
            </w:r>
          </w:p>
        </w:tc>
        <w:tc>
          <w:tcPr>
            <w:tcW w:type="dxa" w:w="4320"/>
          </w:tcPr>
          <w:p>
            <w:r>
              <w:t>DPDP-POL-001</w:t>
            </w:r>
          </w:p>
        </w:tc>
      </w:tr>
      <w:tr>
        <w:tc>
          <w:tcPr>
            <w:tcW w:type="dxa" w:w="4320"/>
            <w:shd w:val="clear" w:color="auto" w:fill="2563EB"/>
          </w:tcPr>
          <w:p>
            <w:r>
              <w:rPr>
                <w:b/>
                <w:color w:val="FFFFFF"/>
              </w:rPr>
              <w:t>Version</w:t>
            </w:r>
          </w:p>
        </w:tc>
        <w:tc>
          <w:tcPr>
            <w:tcW w:type="dxa" w:w="4320"/>
          </w:tcPr>
          <w:p>
            <w:r>
              <w:t>1.0</w:t>
            </w:r>
          </w:p>
        </w:tc>
      </w:tr>
      <w:tr>
        <w:tc>
          <w:tcPr>
            <w:tcW w:type="dxa" w:w="4320"/>
            <w:shd w:val="clear" w:color="auto" w:fill="2563EB"/>
          </w:tcPr>
          <w:p>
            <w:r>
              <w:rPr>
                <w:b/>
                <w:color w:val="FFFFFF"/>
              </w:rPr>
              <w:t>Standard</w:t>
            </w:r>
          </w:p>
        </w:tc>
        <w:tc>
          <w:tcPr>
            <w:tcW w:type="dxa" w:w="4320"/>
          </w:tcPr>
          <w:p>
            <w:r>
              <w:t>India DPDP Act 2023 &amp; DPDP Rules 2025</w:t>
            </w:r>
          </w:p>
        </w:tc>
      </w:tr>
      <w:tr>
        <w:tc>
          <w:tcPr>
            <w:tcW w:type="dxa" w:w="4320"/>
            <w:shd w:val="clear" w:color="auto" w:fill="2563EB"/>
          </w:tcPr>
          <w:p>
            <w:r>
              <w:rPr>
                <w:b/>
                <w:color w:val="FFFFFF"/>
              </w:rPr>
              <w:t>Clause / Control Reference</w:t>
            </w:r>
          </w:p>
        </w:tc>
        <w:tc>
          <w:tcPr>
            <w:tcW w:type="dxa" w:w="4320"/>
          </w:tcPr>
          <w:p>
            <w:r>
              <w:t>S.8, S.5</w:t>
            </w:r>
          </w:p>
        </w:tc>
      </w:tr>
      <w:tr>
        <w:tc>
          <w:tcPr>
            <w:tcW w:type="dxa" w:w="4320"/>
            <w:shd w:val="clear" w:color="auto" w:fill="2563EB"/>
          </w:tcPr>
          <w:p>
            <w:r>
              <w:rPr>
                <w:b/>
                <w:color w:val="FFFFFF"/>
              </w:rPr>
              <w:t>Classification</w:t>
            </w:r>
          </w:p>
        </w:tc>
        <w:tc>
          <w:tcPr>
            <w:tcW w:type="dxa" w:w="4320"/>
          </w:tcPr>
          <w:p>
            <w:r>
              <w:t>Confidential</w:t>
            </w:r>
          </w:p>
        </w:tc>
      </w:tr>
      <w:tr>
        <w:tc>
          <w:tcPr>
            <w:tcW w:type="dxa" w:w="4320"/>
            <w:shd w:val="clear" w:color="auto" w:fill="2563EB"/>
          </w:tcPr>
          <w:p>
            <w:r>
              <w:rPr>
                <w:b/>
                <w:color w:val="FFFFFF"/>
              </w:rPr>
              <w:t>Effective Date</w:t>
            </w:r>
          </w:p>
        </w:tc>
        <w:tc>
          <w:tcPr>
            <w:tcW w:type="dxa" w:w="4320"/>
          </w:tcPr>
          <w:p>
            <w:r>
              <w:t>01 Feb 2026</w:t>
            </w:r>
          </w:p>
        </w:tc>
      </w:tr>
      <w:tr>
        <w:tc>
          <w:tcPr>
            <w:tcW w:type="dxa" w:w="4320"/>
            <w:shd w:val="clear" w:color="auto" w:fill="2563EB"/>
          </w:tcPr>
          <w:p>
            <w:r>
              <w:rPr>
                <w:b/>
                <w:color w:val="FFFFFF"/>
              </w:rPr>
              <w:t>Next Review Date</w:t>
            </w:r>
          </w:p>
        </w:tc>
        <w:tc>
          <w:tcPr>
            <w:tcW w:type="dxa" w:w="4320"/>
          </w:tcPr>
          <w:p>
            <w:r>
              <w:t>01 Feb 2027</w:t>
            </w:r>
          </w:p>
        </w:tc>
      </w:tr>
      <w:tr>
        <w:tc>
          <w:tcPr>
            <w:tcW w:type="dxa" w:w="4320"/>
            <w:shd w:val="clear" w:color="auto" w:fill="2563EB"/>
          </w:tcPr>
          <w:p>
            <w:r>
              <w:rPr>
                <w:b/>
                <w:color w:val="FFFFFF"/>
              </w:rPr>
              <w:t>Document Owner</w:t>
            </w:r>
          </w:p>
        </w:tc>
        <w:tc>
          <w:tcPr>
            <w:tcW w:type="dxa" w:w="4320"/>
          </w:tcPr>
          <w:p>
            <w:r>
              <w:t>Priya Sharma (CISO)</w:t>
            </w:r>
          </w:p>
        </w:tc>
      </w:tr>
      <w:tr>
        <w:tc>
          <w:tcPr>
            <w:tcW w:type="dxa" w:w="4320"/>
            <w:shd w:val="clear" w:color="auto" w:fill="2563EB"/>
          </w:tcPr>
          <w:p>
            <w:r>
              <w:rPr>
                <w:b/>
                <w:color w:val="FFFFFF"/>
              </w:rPr>
              <w:t>Reviewed By</w:t>
            </w:r>
          </w:p>
        </w:tc>
        <w:tc>
          <w:tcPr>
            <w:tcW w:type="dxa" w:w="4320"/>
          </w:tcPr>
          <w:p>
            <w:r>
              <w:t>Rahul Verma</w:t>
            </w:r>
          </w:p>
        </w:tc>
      </w:tr>
      <w:tr>
        <w:tc>
          <w:tcPr>
            <w:tcW w:type="dxa" w:w="4320"/>
            <w:shd w:val="clear" w:color="auto" w:fill="2563EB"/>
          </w:tcPr>
          <w:p>
            <w:r>
              <w:rPr>
                <w:b/>
                <w:color w:val="FFFFFF"/>
              </w:rPr>
              <w:t>Approved By</w:t>
            </w:r>
          </w:p>
        </w:tc>
        <w:tc>
          <w:tcPr>
            <w:tcW w:type="dxa" w:w="4320"/>
          </w:tcPr>
          <w:p>
            <w:r>
              <w:t>Anita Desai</w:t>
            </w:r>
          </w:p>
        </w:tc>
      </w:tr>
      <w:tr>
        <w:tc>
          <w:tcPr>
            <w:tcW w:type="dxa" w:w="4320"/>
            <w:shd w:val="clear" w:color="auto" w:fill="2563EB"/>
          </w:tcPr>
          <w:p>
            <w:r>
              <w:rPr>
                <w:b/>
                <w:color w:val="FFFFFF"/>
              </w:rPr>
              <w:t>Prepared By</w:t>
            </w:r>
          </w:p>
        </w:tc>
        <w:tc>
          <w:tcPr>
            <w:tcW w:type="dxa" w:w="4320"/>
          </w:tcPr>
          <w:p>
            <w:r>
              <w:t>Priya Sharma</w:t>
            </w:r>
          </w:p>
        </w:tc>
      </w:tr>
    </w:tbl>
    <w:p/>
    <w:p>
      <w:r>
        <w:rPr>
          <w:b/>
          <w:color w:val="2563EB"/>
          <w:sz w:val="24"/>
        </w:rPr>
        <w:t>Change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2563EB"/>
          </w:tcPr>
          <w:p>
            <w:r>
              <w:rPr>
                <w:b/>
                <w:color w:val="FFFFFF"/>
              </w:rPr>
              <w:t>Version</w:t>
            </w:r>
          </w:p>
        </w:tc>
        <w:tc>
          <w:tcPr>
            <w:tcW w:type="dxa" w:w="2160"/>
            <w:shd w:val="clear" w:color="auto" w:fill="2563EB"/>
          </w:tcPr>
          <w:p>
            <w:r>
              <w:rPr>
                <w:b/>
                <w:color w:val="FFFFFF"/>
              </w:rPr>
              <w:t>Date</w:t>
            </w:r>
          </w:p>
        </w:tc>
        <w:tc>
          <w:tcPr>
            <w:tcW w:type="dxa" w:w="2160"/>
            <w:shd w:val="clear" w:color="auto" w:fill="2563EB"/>
          </w:tcPr>
          <w:p>
            <w:r>
              <w:rPr>
                <w:b/>
                <w:color w:val="FFFFFF"/>
              </w:rPr>
              <w:t>Description of Change</w:t>
            </w:r>
          </w:p>
        </w:tc>
        <w:tc>
          <w:tcPr>
            <w:tcW w:type="dxa" w:w="2160"/>
            <w:shd w:val="clear" w:color="auto" w:fill="2563EB"/>
          </w:tcPr>
          <w:p>
            <w:r>
              <w:rPr>
                <w:b/>
                <w:color w:val="FFFFFF"/>
              </w:rPr>
              <w:t>Author</w:t>
            </w:r>
          </w:p>
        </w:tc>
      </w:tr>
      <w:tr>
        <w:tc>
          <w:tcPr>
            <w:tcW w:type="dxa" w:w="2160"/>
          </w:tcPr>
          <w:p>
            <w:r>
              <w:t>1.0</w:t>
            </w:r>
          </w:p>
        </w:tc>
        <w:tc>
          <w:tcPr>
            <w:tcW w:type="dxa" w:w="2160"/>
          </w:tcPr>
          <w:p>
            <w:r>
              <w:t>01 Feb 2026</w:t>
            </w:r>
          </w:p>
        </w:tc>
        <w:tc>
          <w:tcPr>
            <w:tcW w:type="dxa" w:w="2160"/>
          </w:tcPr>
          <w:p>
            <w:r>
              <w:t>Initial issue.</w:t>
            </w:r>
          </w:p>
        </w:tc>
        <w:tc>
          <w:tcPr>
            <w:tcW w:type="dxa" w:w="2160"/>
          </w:tcPr>
          <w:p>
            <w:r>
              <w:t>Priya Sharma</w:t>
            </w:r>
          </w:p>
        </w:tc>
      </w:tr>
    </w:tbl>
    <w:p/>
    <w:p>
      <w:r>
        <w:rPr>
          <w:b/>
          <w:color w:val="2563EB"/>
          <w:sz w:val="30"/>
        </w:rPr>
        <w:t>Purpose</w:t>
      </w:r>
    </w:p>
    <w:p>
      <w:r>
        <w:t>This policy sets out how AcmeCloud Technologies Private Limited acts as a Data Fiduciary under the Digital Personal Data Protection Act, 2023 when processing digital personal data.</w:t>
      </w:r>
    </w:p>
    <w:p/>
    <w:p>
      <w:r>
        <w:rPr>
          <w:b/>
          <w:color w:val="2563EB"/>
          <w:sz w:val="30"/>
        </w:rPr>
        <w:t>Lawful Processing</w:t>
      </w:r>
    </w:p>
    <w:p>
      <w:r>
        <w:t>AcmeCloud processes personal data only for lawful purposes with valid consent or under legitimate uses permitted by the Act.</w:t>
      </w:r>
    </w:p>
    <w:p/>
    <w:p>
      <w:r>
        <w:rPr>
          <w:b/>
          <w:color w:val="2563EB"/>
          <w:sz w:val="24"/>
        </w:rPr>
        <w:t>Important Notice</w:t>
      </w:r>
    </w:p>
    <w:p>
      <w:r>
        <w:rPr>
          <w:i/>
          <w:color w:val="963C3C"/>
          <w:sz w:val="18"/>
        </w:rPr>
        <w:t>This document is a template provided by FaizZab to assist AcmeCloud Technologies Private Limited with DPDP Act readiness. It does NOT constitute legal advice. AcmeCloud must obtain independent legal review before relying on this document.</w:t>
      </w:r>
    </w:p>
    <w:p/>
    <w:p>
      <w:r>
        <w:rPr>
          <w:b/>
          <w:color w:val="2563EB"/>
          <w:sz w:val="30"/>
        </w:rPr>
        <w:t>Approval</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2563EB"/>
          </w:tcPr>
          <w:p>
            <w:r>
              <w:rPr>
                <w:b/>
                <w:color w:val="FFFFFF"/>
              </w:rPr>
              <w:t>Action</w:t>
            </w:r>
          </w:p>
        </w:tc>
        <w:tc>
          <w:tcPr>
            <w:tcW w:type="dxa" w:w="2160"/>
            <w:shd w:val="clear" w:color="auto" w:fill="2563EB"/>
          </w:tcPr>
          <w:p>
            <w:r>
              <w:rPr>
                <w:b/>
                <w:color w:val="FFFFFF"/>
              </w:rPr>
              <w:t>Name</w:t>
            </w:r>
          </w:p>
        </w:tc>
        <w:tc>
          <w:tcPr>
            <w:tcW w:type="dxa" w:w="2160"/>
            <w:shd w:val="clear" w:color="auto" w:fill="2563EB"/>
          </w:tcPr>
          <w:p>
            <w:r>
              <w:rPr>
                <w:b/>
                <w:color w:val="FFFFFF"/>
              </w:rPr>
              <w:t>Role</w:t>
            </w:r>
          </w:p>
        </w:tc>
        <w:tc>
          <w:tcPr>
            <w:tcW w:type="dxa" w:w="2160"/>
            <w:shd w:val="clear" w:color="auto" w:fill="2563EB"/>
          </w:tcPr>
          <w:p>
            <w:r>
              <w:rPr>
                <w:b/>
                <w:color w:val="FFFFFF"/>
              </w:rPr>
              <w:t>Date</w:t>
            </w:r>
          </w:p>
        </w:tc>
      </w:tr>
      <w:tr>
        <w:tc>
          <w:tcPr>
            <w:tcW w:type="dxa" w:w="2160"/>
          </w:tcPr>
          <w:p>
            <w:r>
              <w:t>Prepared</w:t>
            </w:r>
          </w:p>
        </w:tc>
        <w:tc>
          <w:tcPr>
            <w:tcW w:type="dxa" w:w="2160"/>
          </w:tcPr>
          <w:p>
            <w:r>
              <w:t>Priya Sharma</w:t>
            </w:r>
          </w:p>
        </w:tc>
        <w:tc>
          <w:tcPr>
            <w:tcW w:type="dxa" w:w="2160"/>
          </w:tcPr>
          <w:p>
            <w:r/>
          </w:p>
        </w:tc>
        <w:tc>
          <w:tcPr>
            <w:tcW w:type="dxa" w:w="2160"/>
          </w:tcPr>
          <w:p>
            <w:r>
              <w:t>01 Feb 2026</w:t>
            </w:r>
          </w:p>
        </w:tc>
      </w:tr>
      <w:tr>
        <w:tc>
          <w:tcPr>
            <w:tcW w:type="dxa" w:w="2160"/>
          </w:tcPr>
          <w:p>
            <w:r>
              <w:t>Reviewed</w:t>
            </w:r>
          </w:p>
        </w:tc>
        <w:tc>
          <w:tcPr>
            <w:tcW w:type="dxa" w:w="2160"/>
          </w:tcPr>
          <w:p>
            <w:r>
              <w:t>Rahul Verma</w:t>
            </w:r>
          </w:p>
        </w:tc>
        <w:tc>
          <w:tcPr>
            <w:tcW w:type="dxa" w:w="2160"/>
          </w:tcPr>
          <w:p>
            <w:r/>
          </w:p>
        </w:tc>
        <w:tc>
          <w:tcPr>
            <w:tcW w:type="dxa" w:w="2160"/>
          </w:tcPr>
          <w:p>
            <w:r>
              <w:t>01 Feb 2026</w:t>
            </w:r>
          </w:p>
        </w:tc>
      </w:tr>
      <w:tr>
        <w:tc>
          <w:tcPr>
            <w:tcW w:type="dxa" w:w="2160"/>
          </w:tcPr>
          <w:p>
            <w:r>
              <w:t>Approved</w:t>
            </w:r>
          </w:p>
        </w:tc>
        <w:tc>
          <w:tcPr>
            <w:tcW w:type="dxa" w:w="2160"/>
          </w:tcPr>
          <w:p>
            <w:r>
              <w:t>Anita Desai</w:t>
            </w:r>
          </w:p>
        </w:tc>
        <w:tc>
          <w:tcPr>
            <w:tcW w:type="dxa" w:w="2160"/>
          </w:tcPr>
          <w:p>
            <w:r/>
          </w:p>
        </w:tc>
        <w:tc>
          <w:tcPr>
            <w:tcW w:type="dxa" w:w="2160"/>
          </w:tcPr>
          <w:p>
            <w:r>
              <w:t>01 Feb 2026</w:t>
            </w:r>
          </w:p>
        </w:tc>
      </w:tr>
    </w:tbl>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4"/>
      </w:rPr>
      <w:t>Document ID: DPDP-POL-001   |   Version: 1.0   |   Classification: Confidential   |   AcmeCloud Technologies Private Limited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787878"/>
        <w:sz w:val="16"/>
      </w:rPr>
      <w:t>AcmeCloud  |  Data Protection Governance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