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a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2563EB"/>
          <w:sz w:val="40"/>
        </w:rPr>
        <w:t>AcmeCloud Technologies Private Limited</w:t>
      </w:r>
    </w:p>
    <w:p>
      <w:pPr>
        <w:jc w:val="center"/>
      </w:pPr>
      <w:r>
        <w:rPr>
          <w:b/>
          <w:sz w:val="52"/>
        </w:rPr>
        <w:t>Information Security Policy</w:t>
      </w:r>
    </w:p>
    <w:p>
      <w:pPr>
        <w:jc w:val="center"/>
      </w:pPr>
      <w:r>
        <w:rPr>
          <w:i/>
          <w:sz w:val="24"/>
        </w:rPr>
        <w:t>ISO/IEC 27001:2022</w:t>
      </w:r>
    </w:p>
    <w:p/>
    <w:p>
      <w:pPr>
        <w:jc w:val="center"/>
      </w:pPr>
      <w:r>
        <w:rPr>
          <w:sz w:val="22"/>
        </w:rPr>
        <w:t>Document ID: ISMS-POL-001</w:t>
        <w:br/>
        <w:t>Version: 1.0</w:t>
        <w:br/>
        <w:t>Effective Date: 01 Feb 2026</w:t>
        <w:br/>
        <w:t>Classification: Confidential</w:t>
      </w:r>
    </w:p>
    <w:p>
      <w:r>
        <w:br w:type="page"/>
      </w:r>
    </w:p>
    <w:p>
      <w:r>
        <w:rPr>
          <w:b/>
          <w:color w:val="2563EB"/>
          <w:sz w:val="3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Document Title</w:t>
            </w:r>
          </w:p>
        </w:tc>
        <w:tc>
          <w:tcPr>
            <w:tcW w:type="dxa" w:w="4320"/>
          </w:tcPr>
          <w:p>
            <w:r>
              <w:t>Information Security Policy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4320"/>
          </w:tcPr>
          <w:p>
            <w:r>
              <w:t>ISMS-POL-001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4320"/>
          </w:tcPr>
          <w:p>
            <w:r>
              <w:t>ISO/IEC 27001:2022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Clause / Control Reference</w:t>
            </w:r>
          </w:p>
        </w:tc>
        <w:tc>
          <w:tcPr>
            <w:tcW w:type="dxa" w:w="4320"/>
          </w:tcPr>
          <w:p>
            <w:r>
              <w:t>5.2, 5.1, A.5.1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4320"/>
          </w:tcPr>
          <w:p>
            <w:r>
              <w:t>01 Feb 2026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Next Review Date</w:t>
            </w:r>
          </w:p>
        </w:tc>
        <w:tc>
          <w:tcPr>
            <w:tcW w:type="dxa" w:w="4320"/>
          </w:tcPr>
          <w:p>
            <w:r>
              <w:t>01 Feb 2027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Document Owner</w:t>
            </w:r>
          </w:p>
        </w:tc>
        <w:tc>
          <w:tcPr>
            <w:tcW w:type="dxa" w:w="4320"/>
          </w:tcPr>
          <w:p>
            <w:r>
              <w:t>Priya Sharma (CISO)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Reviewed By</w:t>
            </w:r>
          </w:p>
        </w:tc>
        <w:tc>
          <w:tcPr>
            <w:tcW w:type="dxa" w:w="4320"/>
          </w:tcPr>
          <w:p>
            <w:r>
              <w:t>Rahul Verma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Approved By</w:t>
            </w:r>
          </w:p>
        </w:tc>
        <w:tc>
          <w:tcPr>
            <w:tcW w:type="dxa" w:w="4320"/>
          </w:tcPr>
          <w:p>
            <w:r>
              <w:t>Anita Desai</w:t>
            </w:r>
          </w:p>
        </w:tc>
      </w:tr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4320"/>
          </w:tcPr>
          <w:p>
            <w:r>
              <w:t>Priya Sharma</w:t>
            </w:r>
          </w:p>
        </w:tc>
      </w:tr>
    </w:tbl>
    <w:p/>
    <w:p>
      <w:r>
        <w:rPr>
          <w:b/>
          <w:color w:val="2563EB"/>
          <w:sz w:val="24"/>
        </w:rP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Description of Change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01 Feb 2026</w:t>
            </w:r>
          </w:p>
        </w:tc>
        <w:tc>
          <w:tcPr>
            <w:tcW w:type="dxa" w:w="2160"/>
          </w:tcPr>
          <w:p>
            <w:r>
              <w:t>Initial issue.</w:t>
            </w:r>
          </w:p>
        </w:tc>
        <w:tc>
          <w:tcPr>
            <w:tcW w:type="dxa" w:w="2160"/>
          </w:tcPr>
          <w:p>
            <w:r>
              <w:t>Priya Sharma</w:t>
            </w:r>
          </w:p>
        </w:tc>
      </w:tr>
    </w:tbl>
    <w:p/>
    <w:p>
      <w:r>
        <w:rPr>
          <w:b/>
          <w:color w:val="2563EB"/>
          <w:sz w:val="30"/>
        </w:rPr>
        <w:t>Purpose</w:t>
      </w:r>
    </w:p>
    <w:p>
      <w:r>
        <w:t>This Information Security Policy establishes AcmeCloud Technologies Private Limited's commitment to protecting the confidentiality, integrity and availability of information assets used to deliver Multi-tenant SaaS analytics platform. It applies across Bengaluru HQ, Pune Dev Center.</w:t>
      </w:r>
    </w:p>
    <w:p/>
    <w:p>
      <w:r>
        <w:rPr>
          <w:b/>
          <w:color w:val="2563EB"/>
          <w:sz w:val="30"/>
        </w:rPr>
        <w:t>Scope</w:t>
      </w:r>
    </w:p>
    <w:p>
      <w:r>
        <w:t>This policy applies to all employees, contractors and third parties of AcmeCloud (approximately 35 personnel) operating within the defined ISMS scope.</w:t>
      </w:r>
    </w:p>
    <w:p/>
    <w:p>
      <w:r>
        <w:rPr>
          <w:b/>
          <w:color w:val="2563EB"/>
          <w:sz w:val="30"/>
        </w:rPr>
        <w:t>Policy Statements</w:t>
      </w:r>
    </w:p>
    <w:p>
      <w:r>
        <w:t>AcmeCloud shall:</w:t>
      </w:r>
    </w:p>
    <w:p>
      <w:pPr>
        <w:pStyle w:val="ListBullet"/>
        <w:spacing w:after="40"/>
      </w:pPr>
      <w:r>
        <w:t>Manage information security risks in line with a documented methodology.</w:t>
      </w:r>
    </w:p>
    <w:p>
      <w:pPr>
        <w:pStyle w:val="ListBullet"/>
        <w:spacing w:after="40"/>
      </w:pPr>
      <w:r>
        <w:t>Ensure compliance with applicable legal, regulatory and contractual obligations.</w:t>
      </w:r>
    </w:p>
    <w:p>
      <w:pPr>
        <w:pStyle w:val="ListBullet"/>
        <w:spacing w:after="40"/>
      </w:pPr>
      <w:r>
        <w:t>Provide security awareness training to all personnel.</w:t>
      </w:r>
    </w:p>
    <w:p>
      <w:pPr>
        <w:pStyle w:val="ListBullet"/>
        <w:spacing w:after="40"/>
      </w:pPr>
      <w:r>
        <w:t>Maintain, review and continually improve the ISMS.</w:t>
      </w:r>
    </w:p>
    <w:p/>
    <w:p>
      <w:r>
        <w:rPr>
          <w:b/>
          <w:color w:val="2563EB"/>
          <w:sz w:val="30"/>
        </w:rPr>
        <w:t>Roles and Responsibilities</w:t>
      </w:r>
    </w:p>
    <w:p>
      <w:r>
        <w:t>Top management (Anita Desai (CEO)) is accountable for the ISMS. The ISMS Manager (Priya Sharma (CISO)) is responsible for day-to-day operation. The Internal Auditor (Rahul Verma) independently audits the ISMS.</w:t>
      </w:r>
    </w:p>
    <w:p/>
    <w:p>
      <w:r>
        <w:rPr>
          <w:b/>
          <w:color w:val="2563EB"/>
          <w:sz w:val="30"/>
        </w:rPr>
        <w:t>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Anita Desai (CEO)</w:t>
            </w:r>
          </w:p>
        </w:tc>
        <w:tc>
          <w:tcPr>
            <w:tcW w:type="dxa" w:w="4320"/>
          </w:tcPr>
          <w:p>
            <w:r>
              <w:t>Overall accountability and resource provision for the ISMS.</w:t>
            </w:r>
          </w:p>
        </w:tc>
      </w:tr>
      <w:tr>
        <w:tc>
          <w:tcPr>
            <w:tcW w:type="dxa" w:w="4320"/>
          </w:tcPr>
          <w:p>
            <w:r>
              <w:t>Priya Sharma (CISO)</w:t>
            </w:r>
          </w:p>
        </w:tc>
        <w:tc>
          <w:tcPr>
            <w:tcW w:type="dxa" w:w="4320"/>
          </w:tcPr>
          <w:p>
            <w:r>
              <w:t>Operation, monitoring and maintenance of the ISMS.</w:t>
            </w:r>
          </w:p>
        </w:tc>
      </w:tr>
      <w:tr>
        <w:tc>
          <w:tcPr>
            <w:tcW w:type="dxa" w:w="4320"/>
          </w:tcPr>
          <w:p>
            <w:r>
              <w:t>All personnel</w:t>
            </w:r>
          </w:p>
        </w:tc>
        <w:tc>
          <w:tcPr>
            <w:tcW w:type="dxa" w:w="4320"/>
          </w:tcPr>
          <w:p>
            <w:r>
              <w:t>Compliance with security policies and reporting of incidents.</w:t>
            </w:r>
          </w:p>
        </w:tc>
      </w:tr>
    </w:tbl>
    <w:p/>
    <w:p>
      <w:r>
        <w:rPr>
          <w:b/>
          <w:color w:val="2563EB"/>
          <w:sz w:val="30"/>
        </w:rPr>
        <w:t>Monitoring and KPIs</w:t>
      </w:r>
    </w:p>
    <w:p>
      <w:pPr>
        <w:pStyle w:val="ListBullet"/>
      </w:pPr>
      <w:r>
        <w:t>Percentage of staff completing annual security awareness training (target 100%).</w:t>
      </w:r>
    </w:p>
    <w:p>
      <w:pPr>
        <w:pStyle w:val="ListBullet"/>
      </w:pPr>
      <w:r>
        <w:t>Number of security incidents resolved within SLA (target 95%).</w:t>
      </w:r>
    </w:p>
    <w:p/>
    <w:p>
      <w:r>
        <w:rPr>
          <w:b/>
          <w:color w:val="2563EB"/>
          <w:sz w:val="30"/>
        </w:rPr>
        <w:t>Common Nonconformities</w:t>
      </w:r>
    </w:p>
    <w:p>
      <w:pPr>
        <w:pStyle w:val="ListBullet"/>
      </w:pPr>
      <w:r>
        <w:t>Policy not reviewed within the defined review period.</w:t>
      </w:r>
    </w:p>
    <w:p>
      <w:pPr>
        <w:pStyle w:val="ListBullet"/>
      </w:pPr>
      <w:r>
        <w:t>No evidence of top-management approval.</w:t>
      </w:r>
    </w:p>
    <w:p>
      <w:pPr>
        <w:pStyle w:val="ListBullet"/>
      </w:pPr>
      <w:r>
        <w:t>Awareness training records incomplete.</w:t>
      </w:r>
    </w:p>
    <w:p/>
    <w:p>
      <w:r>
        <w:rPr>
          <w:b/>
          <w:color w:val="2563EB"/>
          <w:sz w:val="30"/>
        </w:rPr>
        <w:t>Internal Audit Questions</w:t>
      </w:r>
    </w:p>
    <w:p>
      <w:pPr>
        <w:pStyle w:val="ListNumber"/>
      </w:pPr>
      <w:r>
        <w:t>Has the information security policy been approved by top management?</w:t>
      </w:r>
    </w:p>
    <w:p>
      <w:pPr>
        <w:pStyle w:val="ListNumber"/>
      </w:pPr>
      <w:r>
        <w:t>Is the policy communicated to all relevant personnel?</w:t>
      </w:r>
    </w:p>
    <w:p>
      <w:pPr>
        <w:pStyle w:val="ListNumber"/>
      </w:pPr>
      <w:r>
        <w:t>Is there evidence of periodic review?</w:t>
      </w:r>
    </w:p>
    <w:p/>
    <w:p>
      <w:r>
        <w:rPr>
          <w:b/>
          <w:color w:val="2563EB"/>
          <w:sz w:val="30"/>
        </w:rPr>
        <w:t>Related Documents</w:t>
      </w:r>
    </w:p>
    <w:p>
      <w:pPr>
        <w:pStyle w:val="ListBullet"/>
      </w:pPr>
      <w:r>
        <w:t>ISMS Scope (ISMS-DOC-002)</w:t>
      </w:r>
    </w:p>
    <w:p>
      <w:pPr>
        <w:pStyle w:val="ListBullet"/>
      </w:pPr>
      <w:r>
        <w:t>Risk Assessment Methodology (ISMS-PROC-003)</w:t>
      </w:r>
    </w:p>
    <w:p>
      <w:pPr>
        <w:pStyle w:val="ListBullet"/>
      </w:pPr>
      <w:r>
        <w:t>Statement of Applicability (ISMS-DOC-010)</w:t>
      </w:r>
    </w:p>
    <w:p/>
    <w:p>
      <w:r>
        <w:rPr>
          <w:b/>
          <w:color w:val="2563EB"/>
          <w:sz w:val="30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</w:t>
            </w:r>
          </w:p>
        </w:tc>
        <w:tc>
          <w:tcPr>
            <w:tcW w:type="dxa" w:w="2160"/>
          </w:tcPr>
          <w:p>
            <w:r>
              <w:t>Priya Sharma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01 Feb 2026</w:t>
            </w:r>
          </w:p>
        </w:tc>
      </w:tr>
      <w:tr>
        <w:tc>
          <w:tcPr>
            <w:tcW w:type="dxa" w:w="2160"/>
          </w:tcPr>
          <w:p>
            <w:r>
              <w:t>Reviewed</w:t>
            </w:r>
          </w:p>
        </w:tc>
        <w:tc>
          <w:tcPr>
            <w:tcW w:type="dxa" w:w="2160"/>
          </w:tcPr>
          <w:p>
            <w:r>
              <w:t>Rahul Verma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01 Feb 2026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Anita Desai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01 Feb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 ID: ISMS-POL-001   |   Version: 1.0   |   Classification: Confidential   |   AcmeCloud Technologies Private Limited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87878"/>
        <w:sz w:val="16"/>
      </w:rPr>
      <w:t>AcmeCloud  |  Information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