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bz8n06bco3i" w:id="0"/>
      <w:bookmarkEnd w:id="0"/>
      <w:r w:rsidDel="00000000" w:rsidR="00000000" w:rsidRPr="00000000">
        <w:rPr>
          <w:rtl w:val="0"/>
        </w:rPr>
        <w:t xml:space="preserve">SemaFailBench — Deliverable 1: Threat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Week 1 deliverable. Team: Rimas Almarri, Rataj Albalawi, Shaden Alangari.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Evidence basis note (read this before the definitions): the arXiv/ACL primary-source abstracts and metadata for the ten required papers plus SREGym were fetched and inspected directly during this session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00_evidence_audit.md</w:t>
      </w:r>
      <w:r w:rsidDel="00000000" w:rsidR="00000000" w:rsidRPr="00000000">
        <w:rPr>
          <w:rtl w:val="0"/>
        </w:rPr>
        <w:t xml:space="preserve"> for the full table and exact URLs/IDs). Full closed-book section-by-section PDF reading was not performed — no PDF files for these ten papers were available in this Cowork session's uploads, the linked knowledge-project cache, or the team's connected Google Drive (verified by search). Where a claim below depends on a detail beyond what the fetched abstract/metadata establishes, it is labeled "Engineering hypothesis" or "Design choice," not attributed to a paper.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e02u0wwr3nk" w:id="1"/>
      <w:bookmarkEnd w:id="1"/>
      <w:r w:rsidDel="00000000" w:rsidR="00000000" w:rsidRPr="00000000">
        <w:rPr>
          <w:rtl w:val="0"/>
        </w:rPr>
        <w:t xml:space="preserve">1.1 Core definitions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tsboo79e6b7e" w:id="2"/>
      <w:bookmarkEnd w:id="2"/>
      <w:r w:rsidDel="00000000" w:rsidR="00000000" w:rsidRPr="00000000">
        <w:rPr>
          <w:rtl w:val="0"/>
        </w:rPr>
        <w:t xml:space="preserve">Silent semantic failure (formal definition)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professor's prompt suggested: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silent_failure 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service_operational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AND infrastructure_within_healthy_envelope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AND reproducible_semantic_degradation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Decision: adopt a refined four-clause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silent_semantic_failure(fault, canary_suite, window) 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service_operational(window)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AND infra_within_healthy_envelope(window)          # Deliverable 9 thresholds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AND semantic_degradation(canary_suite, window) &gt; threshold_sem   # Deliverable 7 thresholds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AND degradation_is_reproducible(canary_suite, &gt;=2 independent windows)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AND degradation_is_attributable(fault)              # single injected artifact changed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preferable to the three-clause version:</w:t>
      </w:r>
      <w:r w:rsidDel="00000000" w:rsidR="00000000" w:rsidRPr="00000000">
        <w:rPr>
          <w:rtl w:val="0"/>
        </w:rPr>
        <w:t xml:space="preserve"> the original definition conflates "we observed a low score once" with "there is a real, injected, reproducible fault." Two clauses are added: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 — a single low-scoring canary response can be ordinary LLM sampling noise (CAIN's paper is explicit that LLM API behavior is non-deterministic and correctness notions differ from classical software; arXiv:2311.11123). Requiring the degradation to appear across at least two independent measurement windows (e.g., two separate canary-suite runs, or the deterministic run plus the stochastic-distribution run) is how the healthy-baseline noise floor (Deliverable 8, temp-0 self-similarity test) is respected.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Attributability</w:t>
      </w:r>
      <w:r w:rsidDel="00000000" w:rsidR="00000000" w:rsidRPr="00000000">
        <w:rPr>
          <w:rtl w:val="0"/>
        </w:rPr>
        <w:t xml:space="preserve"> — the experiment protocol (Deliverable 10) changes exactly one artifact hash at a time (template, tokenizer, adapter, quantized weights, retrieval snapshot, etc.). A "silent failure" for this project specifically means a semantic regression traceable to one identified configuration change, not an unexplained drift. This is what separates SemaFailBench from a generic flakiness study.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service_operational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infra_within_healthy_envelope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semantic_degradation</w:t>
      </w:r>
      <w:r w:rsidDel="00000000" w:rsidR="00000000" w:rsidRPr="00000000">
        <w:rPr>
          <w:rtl w:val="0"/>
        </w:rPr>
        <w:t xml:space="preserve"> are each defined precisely in Deliverables 8/9/7 respectively — this document only fixes the logical relationship between them.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ai1yx5rppdaw" w:id="3"/>
      <w:bookmarkEnd w:id="3"/>
      <w:r w:rsidDel="00000000" w:rsidR="00000000" w:rsidRPr="00000000">
        <w:rPr>
          <w:rtl w:val="0"/>
        </w:rPr>
        <w:t xml:space="preserve">Healthy service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serving endpoint (vLLM OpenAI-compatible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/v1/chat/completions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) responds to canary and control traffic with HTTP 2xx, does not crash, restart, or hang, and does not emit CUDA/XID/OOM errors in its logs during the measurement window. Defined precisely by the Deliverable 9 envelope (error rate, availability, restart count = 0).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if5c20mqfwvh" w:id="4"/>
      <w:bookmarkEnd w:id="4"/>
      <w:r w:rsidDel="00000000" w:rsidR="00000000" w:rsidRPr="00000000">
        <w:rPr>
          <w:rtl w:val="0"/>
        </w:rPr>
        <w:t xml:space="preserve">Healthy infrastructure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Deliverable 9 metrics (latency percentiles, TTFT, TPS, GPU utilization/memory/temperature/power, KV-cache utilization, queue/preemption counts, CPU/RAM) fall within the provisional engineering tolerance band established from the repeated healthy-baseline collections (Deliverable 8), pending Week 2 data-driven recalibration.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iek6vzmpnvfn" w:id="5"/>
      <w:bookmarkEnd w:id="5"/>
      <w:r w:rsidDel="00000000" w:rsidR="00000000" w:rsidRPr="00000000">
        <w:rPr>
          <w:rtl w:val="0"/>
        </w:rPr>
        <w:t xml:space="preserve">Semantic degradation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statistically and practically meaningful drop in one or more Deliverable 7 canary-level, instruction-level, or capability-slice scores relative to the healthy-baseline distribution for the same canary, same decoding settings, same hardware — evaluated using deterministic/rule-based scorers wherever possible (IFEval's design principle of preferring verifiable instructions over subjective judgment applies directly here; arXiv:2311.07911) and only using an LLM judge as an optional, clearly-flagged secondary signal, consistent with the project brief's instruction not to rely primarily on an unstable LLM-as-judge.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eex8om17zglq" w:id="6"/>
      <w:bookmarkEnd w:id="6"/>
      <w:r w:rsidDel="00000000" w:rsidR="00000000" w:rsidRPr="00000000">
        <w:rPr>
          <w:rtl w:val="0"/>
        </w:rPr>
        <w:t xml:space="preserve">Accidental deployment fault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configuration or artifact mismatch that a real on-call engineer could plausibly introduce without malicious intent — e.g., deploying the wrong tokenizer revision, forgetting to update a LoRA adapter pointer, applying an aggressive quantization preset to save VRAM, or serving a stale retrieval snapshot after a reindex was supposed to run. This is explicitly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adversarial jailbreak or prompt-injection attack. This distinction matters most for the chat-template fault family: ChatBug (arXiv:2406.12935, accepted AAAI 2025) studies a </w:t>
      </w:r>
      <w:r w:rsidDel="00000000" w:rsidR="00000000" w:rsidRPr="00000000">
        <w:rPr>
          <w:i w:val="1"/>
          <w:i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vulnerability where a malicious user deliberately crafts a prompt that does not conform to the chat template to bypass safety alignment — the attacker controls the prompt, not the deployment config. SemaFailBench's wrong-chat-template fault is the reverse: the deployment config is corrupted (wrong/malformed template loaded server-side) while canary prompts are benign and fixed. ChatBug is used only to justify that chat-template identity is safety-and-behavior-relevant, not as evidence that our specific accidental-misconfiguration scenario was tested by that paper. This is Distinction F from the project brief.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igejfs94fg1u" w:id="7"/>
      <w:bookmarkEnd w:id="7"/>
      <w:r w:rsidDel="00000000" w:rsidR="00000000" w:rsidRPr="00000000">
        <w:rPr>
          <w:rtl w:val="0"/>
        </w:rPr>
        <w:t xml:space="preserve">Out of scope (this document, Week 1)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Adversarial/jailbreak prompting (ChatBug's actual experimental setting).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Multi-GPU tensor-parallel weight-sharding corruption (flagged Stretch/future — high risk of destabilizing the whole serving stack rather than producing an isolated, single-variable fault).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Speculative-decoding draft/target mismatch (requires a second draft model and pipeline not justified for Week 1's hardware/timeline budget).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Network-layer faults (proxy misconfiguration, load-balancer routing bugs) — infrastructure-observable by definition, contradicts the "silent" premise.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Data-poisoning or training-time attacks — out of scope; SemaFailBench studies serving/deployment-time faults only.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99m4ughwvu7" w:id="8"/>
      <w:bookmarkEnd w:id="8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team has administrative access to a serving host with 2× RTX 5090 (Blackwell, ~32 GB GDDR7 per card per public spec, ~64 GB combined,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unified address space — do not assume tensor parallelism is required or free; see Deliverable 8 for a VRAM-agnostic single-GPU baseline design).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vLLM is the serving engine of record for Week 1–2 (professor's stated direction); SGLang is noted as a possible Week 4+ generalization target but is not part of the Week 1 baseline.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verified silent fault requires empirical confirmation in Week 2; Week 1 fault selections are candidates, not proven results.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cnkfgo5w0zgd" w:id="9"/>
      <w:bookmarkEnd w:id="9"/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SemaFailBench is not a general LLM-quality leaderboard (explicitly not "another HELM"; HELM, arXiv:2211.09110, standardizes broad multi-scenario evaluation of many models — SemaFailBench instead holds the model fixed and varies deployment configuration to study detectability of a fixed fault taxonomy).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SemaFailBench does not claim to fully replace infrastructure monitoring — the research question is comparative (detection speed/reliability of canaries vs. infra dashboards for </w:t>
      </w:r>
      <w:r w:rsidDel="00000000" w:rsidR="00000000" w:rsidRPr="00000000">
        <w:rPr>
          <w:i w:val="1"/>
          <w:iCs w:val="1"/>
          <w:rtl w:val="0"/>
        </w:rPr>
        <w:t xml:space="preserve">this specific fault class</w:t>
      </w:r>
      <w:r w:rsidDel="00000000" w:rsidR="00000000" w:rsidRPr="00000000">
        <w:rPr>
          <w:rtl w:val="0"/>
        </w:rPr>
        <w:t xml:space="preserve">), not a claim that infra monitoring is worthless.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SemaFailBench does not attempt to enumerate or inject every RAG failure mode in the taxonomy of Garani (ACL Anthology 2026.trustnlp-main.27, pp. 413–424, 33 modes across 7 pipeline stages) — only 1–2 retrieval-layer faults are selected for empirical injection (Distinction D).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us2gm7bsjvo0" w:id="10"/>
      <w:bookmarkEnd w:id="10"/>
      <w:r w:rsidDel="00000000" w:rsidR="00000000" w:rsidRPr="00000000">
        <w:rPr>
          <w:rtl w:val="0"/>
        </w:rPr>
        <w:t xml:space="preserve">1.2 Acceptance criteria for a verified silent fault (Week 2 gate)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candidate fault graduates from "candidate" (this document) to "verified silent fault" only if, per Deliverable 10 Section 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service remains operational throughout the fault-injection window (no crash, no restart, no 5xx spike).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conventional infra alert threshold (Deliverable 9) is crossed.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least one capability-slice score (Deliverable 3) degrades beyond the Deliverable 7 provisional detection threshold, relative to the paired healthy baseline.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degradation reproduces across ≥2 independent canary-suite runs under the same fault condition.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injection mechanism is documented, hash-pinned, and reversible (restoring the healthy config bundle restores healthy scores).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lbuc9srezjt0" w:id="11"/>
      <w:bookmarkEnd w:id="11"/>
      <w:r w:rsidDel="00000000" w:rsidR="00000000" w:rsidRPr="00000000">
        <w:rPr>
          <w:rtl w:val="0"/>
        </w:rPr>
        <w:t xml:space="preserve">1.3 Rejection criteria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candidate fault is rejected (or demoted to Backup/Stretch) if, during Week 1 design review or Week 2 pilot testing, any of the following hold: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reliably crashes the server or triggers an infra alert (it is then an ordinary SRE-detectable incident, which is explicitly the SREGym problem space, not ours — SREGym, arXiv:2605.07161, targets exactly this class of "high-fidelity failure scenarios" for SRE agents with ~90 problems spanning detectable production faults).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cannot be isolated as a single-variable change (confounds two or more artifacts at once).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canary in the Deliverable 5 suite shows measurable sensitivity to it after piloting (too weak to ever be "detected," making it scientifically uninteresting for this study).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functionally identical to an already-selected fault (near-duplicate fault family with no distinct injection mechanism or expected signature).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z1xwl42x4koi" w:id="12"/>
      <w:bookmarkEnd w:id="12"/>
      <w:r w:rsidDel="00000000" w:rsidR="00000000" w:rsidRPr="00000000">
        <w:rPr>
          <w:rtl w:val="0"/>
        </w:rPr>
        <w:t xml:space="preserve">1.4 Why this definition is preferable to broader definitions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broader definition ("output quality is ever suboptimal") would not be falsifiable or scoped — nearly all LLM outputs have some quality variance under normal sampling. Anchoring "silent" to a specific measured infra envelope (Deliverable 9) and anchoring "failure" to a specific reproducible, attributable, injected artifact change keeps the benchmark's central claim testable: </w:t>
      </w:r>
      <w:r w:rsidDel="00000000" w:rsidR="00000000" w:rsidRPr="00000000">
        <w:rPr>
          <w:i w:val="1"/>
          <w:iCs w:val="1"/>
          <w:rtl w:val="0"/>
        </w:rPr>
        <w:t xml:space="preserve">for this fault taxonomy, canary suite X detects degradation Y while dashboards show nothing outside tolerance Z</w:t>
      </w:r>
      <w:r w:rsidDel="00000000" w:rsidR="00000000" w:rsidRPr="00000000">
        <w:rPr>
          <w:rtl w:val="0"/>
        </w:rPr>
        <w:t xml:space="preserve">. This mirrors CAIN's argument that LLM regression testing needs different correctness notions and must account for non-determinism rather than a single pass/fail check (arXiv:2311.11123), and AgentOps's observability principle that traces/configs/versions must be captured to make agent behavior auditable (arXiv:2411.05285) — both of which this project treats as necessary infrastructure for a defensible claim, not sufficient detection mechanisms on their own.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