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tqfviiadv2kb" w:id="0"/>
      <w:bookmarkEnd w:id="0"/>
      <w:r w:rsidDel="00000000" w:rsidR="00000000" w:rsidRPr="00000000">
        <w:rPr>
          <w:rtl w:val="0"/>
        </w:rPr>
        <w:t xml:space="preserve">SemaFailBench — Deliverable 7: Evaluation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4.436209634727"/>
        <w:gridCol w:w="7095.563790365272"/>
        <w:tblGridChange w:id="0">
          <w:tblGrid>
            <w:gridCol w:w="2264.436209634727"/>
            <w:gridCol w:w="7095.5637903652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 for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rate /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Of all the faulty runs, how many did your canaries successfully catch?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Of all healthy runs, how many did your monitor wrongly call faulty?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When your monitor says “fault,” how often is there actually a fault?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One combined score balancing precision and recall.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ROC/AUC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Try many possible detector thresholds and see how well the drift score separates healthy from faulty runs.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Time-to-detect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After injecting a fault, how many canary queries/checks before you detect it?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How many canary queries/tokens do you need per monitoring check?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Severity-weighted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Missing a serious safety degradation should count more than missing a small formatting degradation.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Show that semantic canaries detect the problem while normal GPU/latency/error dashboards do not.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Bootstrap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Give uncertainty around your reported recall/FPR instead of just one number.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Validation/test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Choose your detector threshold using validation data, then test it on different held-out runs so you don't cheat.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5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1382" l="0" r="0" t="13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haINshTxXIrjMUwuanxM235yw==">CgMxLjAyDmgudHFmdmlpYWR2MmtiOAByITFmejgycEpBVEl5SjlJbFJJeEpYNXpMcEpJdXNkOWdPMw==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