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Mathematical research gaps for interaction learning</w:t>
      </w:r>
    </w:p>
    <w:p>
      <w:r>
        <w:rPr>
          <w:b/>
        </w:rPr>
        <w:t>The best application aligned research target is a finite sample theory of recoverable interaction predictions under combinatorial distribution shift. The potential contribution is a sharp statistical boundary and an estimator that attains it. A GNN, zero shot label, or new siRNA application would not establish that contribution.</w:t>
      </w:r>
    </w:p>
    <w:p>
      <w:r>
        <w:rPr>
          <w:b w:val="0"/>
        </w:rPr>
        <w:t>Two kinds of evidence support different choices. COLT has published explicit open problems in optimization and learning theory. Separately, recent interaction extrapolation work states limitations that motivate a narrower statistical problem. The first category has clearer documented open status; the second has a closer path to siRNA design but still needs an equation level novelty check.</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39"/>
        <w:gridCol w:w="2938"/>
        <w:gridCol w:w="3859"/>
      </w:tblGrid>
      <w:tr>
        <w:trPr>
          <w:tblHeader/>
          <w:cantSplit/>
        </w:trPr>
        <w:tc>
          <w:tcPr>
            <w:tcW w:type="dxa" w:w="3139"/>
            <w:shd w:fill="EAEAEA"/>
            <w:tcMar>
              <w:top w:w="80" w:type="dxa"/>
              <w:left w:w="80" w:type="dxa"/>
              <w:bottom w:w="80" w:type="dxa"/>
              <w:right w:w="80" w:type="dxa"/>
            </w:tcMar>
            <w:vAlign w:val="center"/>
          </w:tcPr>
          <w:p>
            <w:pPr>
              <w:spacing w:after="60" w:line="252" w:lineRule="auto"/>
            </w:pPr>
            <w:r>
              <w:rPr>
                <w:b/>
                <w:sz w:val="19"/>
              </w:rPr>
              <w:t>Direction</w:t>
            </w:r>
          </w:p>
        </w:tc>
        <w:tc>
          <w:tcPr>
            <w:tcW w:type="dxa" w:w="2938"/>
            <w:shd w:fill="EAEAEA"/>
            <w:tcMar>
              <w:top w:w="80" w:type="dxa"/>
              <w:left w:w="80" w:type="dxa"/>
              <w:bottom w:w="80" w:type="dxa"/>
              <w:right w:w="80" w:type="dxa"/>
            </w:tcMar>
            <w:vAlign w:val="center"/>
          </w:tcPr>
          <w:p>
            <w:pPr>
              <w:spacing w:after="60" w:line="252" w:lineRule="auto"/>
            </w:pPr>
            <w:r>
              <w:rPr>
                <w:b/>
                <w:sz w:val="19"/>
              </w:rPr>
              <w:t>Status</w:t>
            </w:r>
          </w:p>
        </w:tc>
        <w:tc>
          <w:tcPr>
            <w:tcW w:type="dxa" w:w="3859"/>
            <w:shd w:fill="EAEAEA"/>
            <w:tcMar>
              <w:top w:w="80" w:type="dxa"/>
              <w:left w:w="80" w:type="dxa"/>
              <w:bottom w:w="80" w:type="dxa"/>
              <w:right w:w="80" w:type="dxa"/>
            </w:tcMar>
            <w:vAlign w:val="center"/>
          </w:tcPr>
          <w:p>
            <w:pPr>
              <w:spacing w:after="60" w:line="252" w:lineRule="auto"/>
            </w:pPr>
            <w:r>
              <w:rPr>
                <w:b/>
                <w:sz w:val="19"/>
              </w:rPr>
              <w:t>Assessment</w:t>
            </w:r>
          </w:p>
        </w:tc>
      </w:tr>
      <w:tr>
        <w:trPr>
          <w:cantSplit/>
        </w:trPr>
        <w:tc>
          <w:tcPr>
            <w:tcW w:type="dxa" w:w="3139"/>
            <w:tcMar>
              <w:top w:w="80" w:type="dxa"/>
              <w:left w:w="80" w:type="dxa"/>
              <w:bottom w:w="80" w:type="dxa"/>
              <w:right w:w="80" w:type="dxa"/>
            </w:tcMar>
            <w:vAlign w:val="center"/>
          </w:tcPr>
          <w:p>
            <w:pPr>
              <w:spacing w:after="60" w:line="252" w:lineRule="auto"/>
            </w:pPr>
            <w:r>
              <w:rPr>
                <w:sz w:val="19"/>
              </w:rPr>
              <w:t>Finite sample recovery of unseen interactions</w:t>
            </w:r>
          </w:p>
        </w:tc>
        <w:tc>
          <w:tcPr>
            <w:tcW w:type="dxa" w:w="2938"/>
            <w:tcMar>
              <w:top w:w="80" w:type="dxa"/>
              <w:left w:w="80" w:type="dxa"/>
              <w:bottom w:w="80" w:type="dxa"/>
              <w:right w:w="80" w:type="dxa"/>
            </w:tcMar>
            <w:vAlign w:val="center"/>
          </w:tcPr>
          <w:p>
            <w:pPr>
              <w:spacing w:after="60" w:line="252" w:lineRule="auto"/>
            </w:pPr>
            <w:r>
              <w:rPr>
                <w:sz w:val="19"/>
              </w:rPr>
              <w:t>Source explicit limitation; specific extension is a candidate</w:t>
            </w:r>
          </w:p>
        </w:tc>
        <w:tc>
          <w:tcPr>
            <w:tcW w:type="dxa" w:w="3859"/>
            <w:tcMar>
              <w:top w:w="80" w:type="dxa"/>
              <w:left w:w="80" w:type="dxa"/>
              <w:bottom w:w="80" w:type="dxa"/>
              <w:right w:w="80" w:type="dxa"/>
            </w:tcMar>
            <w:vAlign w:val="center"/>
          </w:tcPr>
          <w:p>
            <w:pPr>
              <w:spacing w:after="60" w:line="252" w:lineRule="auto"/>
            </w:pPr>
            <w:r>
              <w:rPr>
                <w:sz w:val="19"/>
              </w:rPr>
              <w:t>Best link to design and explanations. A novel estimator or sharp result is not yet established.</w:t>
            </w:r>
          </w:p>
        </w:tc>
      </w:tr>
      <w:tr>
        <w:trPr>
          <w:cantSplit/>
        </w:trPr>
        <w:tc>
          <w:tcPr>
            <w:tcW w:type="dxa" w:w="3139"/>
            <w:tcMar>
              <w:top w:w="80" w:type="dxa"/>
              <w:left w:w="80" w:type="dxa"/>
              <w:bottom w:w="80" w:type="dxa"/>
              <w:right w:w="80" w:type="dxa"/>
            </w:tcMar>
            <w:vAlign w:val="center"/>
          </w:tcPr>
          <w:p>
            <w:pPr>
              <w:spacing w:after="60" w:line="252" w:lineRule="auto"/>
            </w:pPr>
            <w:r>
              <w:rPr>
                <w:sz w:val="19"/>
              </w:rPr>
              <w:t>Overparameterization needed by iterative tensor learning</w:t>
            </w:r>
          </w:p>
        </w:tc>
        <w:tc>
          <w:tcPr>
            <w:tcW w:type="dxa" w:w="2938"/>
            <w:tcMar>
              <w:top w:w="80" w:type="dxa"/>
              <w:left w:w="80" w:type="dxa"/>
              <w:bottom w:w="80" w:type="dxa"/>
              <w:right w:w="80" w:type="dxa"/>
            </w:tcMar>
            <w:vAlign w:val="center"/>
          </w:tcPr>
          <w:p>
            <w:pPr>
              <w:spacing w:after="60" w:line="252" w:lineRule="auto"/>
            </w:pPr>
            <w:r>
              <w:rPr>
                <w:sz w:val="19"/>
              </w:rPr>
              <w:t>Explicit COLT open problem</w:t>
            </w:r>
          </w:p>
        </w:tc>
        <w:tc>
          <w:tcPr>
            <w:tcW w:type="dxa" w:w="3859"/>
            <w:tcMar>
              <w:top w:w="80" w:type="dxa"/>
              <w:left w:w="80" w:type="dxa"/>
              <w:bottom w:w="80" w:type="dxa"/>
              <w:right w:w="80" w:type="dxa"/>
            </w:tcMar>
            <w:vAlign w:val="center"/>
          </w:tcPr>
          <w:p>
            <w:pPr>
              <w:spacing w:after="60" w:line="252" w:lineRule="auto"/>
            </w:pPr>
            <w:r>
              <w:rPr>
                <w:sz w:val="19"/>
              </w:rPr>
              <w:t>Clearest mathematical target with a possible multi factor modeling connection.</w:t>
            </w:r>
          </w:p>
        </w:tc>
      </w:tr>
      <w:tr>
        <w:trPr>
          <w:cantSplit/>
        </w:trPr>
        <w:tc>
          <w:tcPr>
            <w:tcW w:type="dxa" w:w="3139"/>
            <w:tcMar>
              <w:top w:w="80" w:type="dxa"/>
              <w:left w:w="80" w:type="dxa"/>
              <w:bottom w:w="80" w:type="dxa"/>
              <w:right w:w="80" w:type="dxa"/>
            </w:tcMar>
            <w:vAlign w:val="center"/>
          </w:tcPr>
          <w:p>
            <w:pPr>
              <w:spacing w:after="60" w:line="252" w:lineRule="auto"/>
            </w:pPr>
            <w:r>
              <w:rPr>
                <w:sz w:val="19"/>
              </w:rPr>
              <w:t>Distribution independent neural learning versus linear embeddings</w:t>
            </w:r>
          </w:p>
        </w:tc>
        <w:tc>
          <w:tcPr>
            <w:tcW w:type="dxa" w:w="2938"/>
            <w:tcMar>
              <w:top w:w="80" w:type="dxa"/>
              <w:left w:w="80" w:type="dxa"/>
              <w:bottom w:w="80" w:type="dxa"/>
              <w:right w:w="80" w:type="dxa"/>
            </w:tcMar>
            <w:vAlign w:val="center"/>
          </w:tcPr>
          <w:p>
            <w:pPr>
              <w:spacing w:after="60" w:line="252" w:lineRule="auto"/>
            </w:pPr>
            <w:r>
              <w:rPr>
                <w:sz w:val="19"/>
              </w:rPr>
              <w:t>Explicit COLT open problem</w:t>
            </w:r>
          </w:p>
        </w:tc>
        <w:tc>
          <w:tcPr>
            <w:tcW w:type="dxa" w:w="3859"/>
            <w:tcMar>
              <w:top w:w="80" w:type="dxa"/>
              <w:left w:w="80" w:type="dxa"/>
              <w:bottom w:w="80" w:type="dxa"/>
              <w:right w:w="80" w:type="dxa"/>
            </w:tcMar>
            <w:vAlign w:val="center"/>
          </w:tcPr>
          <w:p>
            <w:pPr>
              <w:spacing w:after="60" w:line="252" w:lineRule="auto"/>
            </w:pPr>
            <w:r>
              <w:rPr>
                <w:sz w:val="19"/>
              </w:rPr>
              <w:t>Fundamental, technically demanding, and only indirectly related to siRNA.</w:t>
            </w:r>
          </w:p>
        </w:tc>
      </w:tr>
      <w:tr>
        <w:trPr>
          <w:cantSplit/>
        </w:trPr>
        <w:tc>
          <w:tcPr>
            <w:tcW w:type="dxa" w:w="3139"/>
            <w:tcMar>
              <w:top w:w="80" w:type="dxa"/>
              <w:left w:w="80" w:type="dxa"/>
              <w:bottom w:w="80" w:type="dxa"/>
              <w:right w:w="80" w:type="dxa"/>
            </w:tcMar>
            <w:vAlign w:val="center"/>
          </w:tcPr>
          <w:p>
            <w:pPr>
              <w:spacing w:after="60" w:line="252" w:lineRule="auto"/>
            </w:pPr>
            <w:r>
              <w:rPr>
                <w:sz w:val="19"/>
              </w:rPr>
              <w:t>Nonadaptive one bit estimation under moment constraints</w:t>
            </w:r>
          </w:p>
        </w:tc>
        <w:tc>
          <w:tcPr>
            <w:tcW w:type="dxa" w:w="2938"/>
            <w:tcMar>
              <w:top w:w="80" w:type="dxa"/>
              <w:left w:w="80" w:type="dxa"/>
              <w:bottom w:w="80" w:type="dxa"/>
              <w:right w:w="80" w:type="dxa"/>
            </w:tcMar>
            <w:vAlign w:val="center"/>
          </w:tcPr>
          <w:p>
            <w:pPr>
              <w:spacing w:after="60" w:line="252" w:lineRule="auto"/>
            </w:pPr>
            <w:r>
              <w:rPr>
                <w:sz w:val="19"/>
              </w:rPr>
              <w:t>Explicit COLT open problem</w:t>
            </w:r>
          </w:p>
        </w:tc>
        <w:tc>
          <w:tcPr>
            <w:tcW w:type="dxa" w:w="3859"/>
            <w:tcMar>
              <w:top w:w="80" w:type="dxa"/>
              <w:left w:w="80" w:type="dxa"/>
              <w:bottom w:w="80" w:type="dxa"/>
              <w:right w:w="80" w:type="dxa"/>
            </w:tcMar>
            <w:vAlign w:val="center"/>
          </w:tcPr>
          <w:p>
            <w:pPr>
              <w:spacing w:after="60" w:line="252" w:lineRule="auto"/>
            </w:pPr>
            <w:r>
              <w:rPr>
                <w:sz w:val="19"/>
              </w:rPr>
              <w:t>Precise information theoretic question; weak fit to current assay data.</w:t>
            </w:r>
          </w:p>
        </w:tc>
      </w:tr>
    </w:tbl>
    <w:p>
      <w:pPr>
        <w:spacing w:after="0"/>
      </w:pPr>
    </w:p>
    <w:p>
      <w:r>
        <w:rPr>
          <w:b w:val="0"/>
        </w:rPr>
        <w:t>Open status is documented at publication, not guaranteed indefinitely. The literature boundary here is 12 September 2026; the listed sources do not establish that a proposed extension has never appeared under another formulation. None of the proposed results below is presented as a completed theorem or positive held out ML result.</w:t>
      </w:r>
    </w:p>
    <w:p>
      <w:r>
        <w:rPr>
          <w:b w:val="0"/>
        </w:rPr>
        <w:t>Recommendation: investigate the first direction mathematically before implementing a new architecture. Keep tensor optimization as a separate option if the priority shifts decisively toward pure learning theory. Do not combine the two merely to make a larger project.</w:t>
      </w:r>
    </w:p>
    <w:p>
      <w:pPr>
        <w:pStyle w:val="Heading1"/>
        <w:pageBreakBefore/>
      </w:pPr>
      <w:r>
        <w:t>Closest results and claims already occupied</w:t>
      </w:r>
    </w:p>
    <w:p>
      <w:r>
        <w:rPr>
          <w:b w:val="0"/>
        </w:rPr>
        <w:t>DExtrI identifies interaction response models from axis aligned conditional distributions. Its main assumptions include analytic profiles, monotonicity in latent noise, and restrictions on noise warps; the main theorem uses distinct asymptotic growth orders. Its Discussion explicitly identifies finite sample rates and robustness to approximate assumptions as future directions. These are documented limitations, not a claim of a globally untouched topic.</w:t>
      </w:r>
      <w:r>
        <w:t/>
      </w:r>
      <w:r>
        <w:rPr>
          <w:vertAlign w:val="superscript"/>
        </w:rPr>
        <w:footnoteReference w:id="1"/>
      </w:r>
    </w:p>
    <w:p>
      <w:r>
        <w:rPr>
          <w:b w:val="0"/>
        </w:rPr>
        <w:t>PDAE proves identifiability under invertible Gaussian latent shift models and extrapolation within the span of observed perturbations. Its Discussion separates population identification from finite data decoder extrapolation. This concerns distributions under perturbations, not automatically scalar siRNA labels collected once per sequence.</w:t>
      </w:r>
      <w:r>
        <w:t/>
      </w:r>
      <w:r>
        <w:rPr>
          <w:vertAlign w:val="superscript"/>
        </w:rPr>
        <w:footnoteReference w:id="2"/>
      </w:r>
    </w:p>
    <w:p>
      <w:r>
        <w:rPr>
          <w:b w:val="0"/>
        </w:rPr>
        <w:t>Combinatorial shift already has substantial statistical theory. Simchowitz, Gupta and Zhang study bilinear embeddings and extrapolation with gradual spectral decay. CRM supplies extrapolation results for additive energy models. Consequently, learning a low rank interaction representation or proving an affine span condition is not a new contribution on its own.</w:t>
      </w:r>
      <w:r>
        <w:t/>
      </w:r>
      <w:r>
        <w:rPr>
          <w:vertAlign w:val="superscript"/>
        </w:rPr>
        <w:footnoteReference w:id="3"/>
      </w:r>
    </w:p>
    <w:p>
      <w:r>
        <w:rPr>
          <w:b w:val="0"/>
        </w:rPr>
        <w:t>Finite sample neural distribution learning is also occupied. Chen, Guo and Shen analyze approximation, stochastic and Monte Carlo errors with compositional smoothness. Huang, Xu and Zhu analyze Engression and its reverse Markov extension. Their displayed risks concern conditional distributions averaged over the covariate law in the statistical problem; an out of support target requires an additional justified transfer step.</w:t>
      </w:r>
      <w:r>
        <w:t/>
      </w:r>
      <w:r>
        <w:rPr>
          <w:vertAlign w:val="superscript"/>
        </w:rPr>
        <w:footnoteReference w:id="4"/>
      </w:r>
    </w:p>
    <w:p>
      <w:r>
        <w:rPr>
          <w:b w:val="0"/>
        </w:rPr>
        <w:t>Bounds beyond observed support are not new either. Pfister and Bühlmann give a nonparametric extrapolation framework based on directional derivative assumptions, together with estimators of lower and upper bounds. A new confidence interval wrapper must improve on an applicable result rather than simply rename extrapolation awareness.</w:t>
      </w:r>
      <w:r>
        <w:t/>
      </w:r>
      <w:r>
        <w:rPr>
          <w:vertAlign w:val="superscript"/>
        </w:rPr>
        <w:footnoteReference w:id="5"/>
      </w:r>
    </w:p>
    <w:p>
      <w:r>
        <w:rPr>
          <w:b w:val="0"/>
        </w:rPr>
        <w:t>Finite sample nonlinear ICA predates these papers, and auxiliary variable identifiability has a well developed literature. Relaxing Gaussianity or adding a finite sample statement must therefore be compared with the precise nonlinear ICA model and its ambiguities.</w:t>
      </w:r>
      <w:r>
        <w:t/>
      </w:r>
      <w:r>
        <w:rPr>
          <w:vertAlign w:val="superscript"/>
        </w:rPr>
        <w:footnoteReference w:id="6"/>
      </w:r>
    </w:p>
    <w:p>
      <w:pPr>
        <w:pStyle w:val="Heading1"/>
        <w:pageBreakBefore/>
      </w:pPr>
      <w:r>
        <w:t>A precise candidate statistical problem</w:t>
      </w:r>
    </w:p>
    <w:p>
      <w:r>
        <w:rPr>
          <w:b w:val="0"/>
        </w:rPr>
        <w:t>Consider a declared set of feasible modifications applied to a fixed background. An action vector a records which changes are present. Training observations cover only selected action combinations, while the desired ranking includes unmeasured combinations. For the first theorem, fix the background, the assay scale and the action encoding; learning all three simultaneously would obscure the mathematical question.</w:t>
      </w:r>
    </w:p>
    <w:p>
      <w:pPr>
        <w:spacing w:before="80" w:after="140"/>
        <w:jc w:val="center"/>
      </w:pPr>
      <w:r>
        <w:drawing>
          <wp:inline xmlns:a="http://schemas.openxmlformats.org/drawingml/2006/main" xmlns:pic="http://schemas.openxmlformats.org/drawingml/2006/picture">
            <wp:extent cx="2868168" cy="176784"/>
            <wp:docPr id="1" name="Picture 1"/>
            <wp:cNvGraphicFramePr>
              <a:graphicFrameLocks noChangeAspect="1"/>
            </wp:cNvGraphicFramePr>
            <a:graphic>
              <a:graphicData uri="http://schemas.openxmlformats.org/drawingml/2006/picture">
                <pic:pic>
                  <pic:nvPicPr>
                    <pic:cNvPr id="0" name="equation_1.png"/>
                    <pic:cNvPicPr/>
                  </pic:nvPicPr>
                  <pic:blipFill>
                    <a:blip r:embed="rId9"/>
                    <a:stretch>
                      <a:fillRect/>
                    </a:stretch>
                  </pic:blipFill>
                  <pic:spPr>
                    <a:xfrm>
                      <a:off x="0" y="0"/>
                      <a:ext cx="2868168" cy="176784"/>
                    </a:xfrm>
                    <a:prstGeom prst="rect"/>
                  </pic:spPr>
                </pic:pic>
              </a:graphicData>
            </a:graphic>
          </wp:inline>
        </w:drawing>
      </w:r>
    </w:p>
    <w:p>
      <w:r>
        <w:rPr>
          <w:b w:val="0"/>
        </w:rPr>
        <w:t>Let μ(a) be the expected declared endpoint. Two relevant targets are a candidate ordering Δ and a two change interaction I. The latter asks whether the combined change has more or less effect than the sum of the separate changes, on the chosen measurement scale.</w:t>
      </w:r>
    </w:p>
    <w:p>
      <w:pPr>
        <w:spacing w:before="80" w:after="140"/>
        <w:jc w:val="center"/>
      </w:pPr>
      <w:r>
        <w:drawing>
          <wp:inline xmlns:a="http://schemas.openxmlformats.org/drawingml/2006/main" xmlns:pic="http://schemas.openxmlformats.org/drawingml/2006/picture">
            <wp:extent cx="4062984" cy="164592"/>
            <wp:docPr id="2" name="Picture 2"/>
            <wp:cNvGraphicFramePr>
              <a:graphicFrameLocks noChangeAspect="1"/>
            </wp:cNvGraphicFramePr>
            <a:graphic>
              <a:graphicData uri="http://schemas.openxmlformats.org/drawingml/2006/picture">
                <pic:pic>
                  <pic:nvPicPr>
                    <pic:cNvPr id="0" name="equation_2.png"/>
                    <pic:cNvPicPr/>
                  </pic:nvPicPr>
                  <pic:blipFill>
                    <a:blip r:embed="rId10"/>
                    <a:stretch>
                      <a:fillRect/>
                    </a:stretch>
                  </pic:blipFill>
                  <pic:spPr>
                    <a:xfrm>
                      <a:off x="0" y="0"/>
                      <a:ext cx="4062984" cy="164592"/>
                    </a:xfrm>
                    <a:prstGeom prst="rect"/>
                  </pic:spPr>
                </pic:pic>
              </a:graphicData>
            </a:graphic>
          </wp:inline>
        </w:drawing>
      </w:r>
    </w:p>
    <w:p>
      <w:r>
        <w:rPr>
          <w:b w:val="0"/>
        </w:rPr>
        <w:t>The research question is target specific: how much information in the observed response distributions is needed to determine the sign or magnitude of Δ or I? Full recovery of every latent component may be unnecessary. Conversely, a uniquely identified component in the infinite data limit may still be unusably uncertain with finite observations.</w:t>
      </w:r>
    </w:p>
    <w:p>
      <w:pPr>
        <w:pStyle w:val="Heading2"/>
      </w:pPr>
      <w:r>
        <w:t>A theorem target rather than a claimed result</w:t>
      </w:r>
    </w:p>
    <w:p>
      <w:r>
        <w:rPr>
          <w:b w:val="0"/>
        </w:rPr>
        <w:t>For a normalized model class M and n observations, seek upper and lower bounds for the minimax error of estimating Δ. Dependence should expose experimental coverage, separation of interaction mechanisms, function complexity, and noise. The result should distinguish identifiable but weakly separated directions from directions that cannot affect the requested comparison.</w:t>
      </w:r>
    </w:p>
    <w:p>
      <w:pPr>
        <w:spacing w:before="80" w:after="140"/>
        <w:jc w:val="center"/>
      </w:pPr>
      <w:r>
        <w:drawing>
          <wp:inline xmlns:a="http://schemas.openxmlformats.org/drawingml/2006/main" xmlns:pic="http://schemas.openxmlformats.org/drawingml/2006/picture">
            <wp:extent cx="2602992" cy="289560"/>
            <wp:docPr id="3" name="Picture 3"/>
            <wp:cNvGraphicFramePr>
              <a:graphicFrameLocks noChangeAspect="1"/>
            </wp:cNvGraphicFramePr>
            <a:graphic>
              <a:graphicData uri="http://schemas.openxmlformats.org/drawingml/2006/picture">
                <pic:pic>
                  <pic:nvPicPr>
                    <pic:cNvPr id="0" name="equation_3.png"/>
                    <pic:cNvPicPr/>
                  </pic:nvPicPr>
                  <pic:blipFill>
                    <a:blip r:embed="rId11"/>
                    <a:stretch>
                      <a:fillRect/>
                    </a:stretch>
                  </pic:blipFill>
                  <pic:spPr>
                    <a:xfrm>
                      <a:off x="0" y="0"/>
                      <a:ext cx="2602992" cy="289560"/>
                    </a:xfrm>
                    <a:prstGeom prst="rect"/>
                  </pic:spPr>
                </pic:pic>
              </a:graphicData>
            </a:graphic>
          </wp:inline>
        </w:drawing>
      </w:r>
    </w:p>
    <w:p>
      <w:r>
        <w:rPr>
          <w:b w:val="0"/>
        </w:rPr>
        <w:t>Here d ranges over estimators based on the observed sample. Minimax risk is a standard definition, not the contribution. A substantive result would characterize it in a concrete interaction class where existing bilinear transfer, ordinary parametric estimation, and conditional distribution bounds do not already give the answer. The algorithm should attain the informative dependence, not merely accompany the theorem.</w:t>
      </w:r>
    </w:p>
    <w:p>
      <w:r>
        <w:rPr>
          <w:b w:val="0"/>
        </w:rPr>
        <w:t>Start with two interaction components and a small action dictionary. Quantitative restrictions must control weak identification on the observable range, rather than assume an unknown global stability constant equal to the quantity being bounded. Prove a useful restricted case before claiming arbitrary GNNs or unobserved chemical types.</w:t>
      </w:r>
    </w:p>
    <w:p>
      <w:pPr>
        <w:pStyle w:val="Heading1"/>
        <w:pageBreakBefore/>
      </w:pPr>
      <w:r>
        <w:t>An analytic diagnostic of weak interaction separation</w:t>
      </w:r>
    </w:p>
    <w:p>
      <w:r>
        <w:rPr>
          <w:b w:val="0"/>
        </w:rPr>
        <w:t>The following construction illustrates the issue without training. It uses four continuous action coordinates and two alternative scalar response generators. It is an elementary research diagnostic; no priority claim is made for the construction.</w:t>
      </w:r>
    </w:p>
    <w:p>
      <w:pPr>
        <w:spacing w:before="80" w:after="140"/>
        <w:jc w:val="center"/>
      </w:pPr>
      <w:r>
        <w:drawing>
          <wp:inline xmlns:a="http://schemas.openxmlformats.org/drawingml/2006/main" xmlns:pic="http://schemas.openxmlformats.org/drawingml/2006/picture">
            <wp:extent cx="3822191" cy="240791"/>
            <wp:docPr id="4" name="Picture 4"/>
            <wp:cNvGraphicFramePr>
              <a:graphicFrameLocks noChangeAspect="1"/>
            </wp:cNvGraphicFramePr>
            <a:graphic>
              <a:graphicData uri="http://schemas.openxmlformats.org/drawingml/2006/picture">
                <pic:pic>
                  <pic:nvPicPr>
                    <pic:cNvPr id="0" name="equation_4.png"/>
                    <pic:cNvPicPr/>
                  </pic:nvPicPr>
                  <pic:blipFill>
                    <a:blip r:embed="rId12"/>
                    <a:stretch>
                      <a:fillRect/>
                    </a:stretch>
                  </pic:blipFill>
                  <pic:spPr>
                    <a:xfrm>
                      <a:off x="0" y="0"/>
                      <a:ext cx="3822191" cy="240791"/>
                    </a:xfrm>
                    <a:prstGeom prst="rect"/>
                  </pic:spPr>
                </pic:pic>
              </a:graphicData>
            </a:graphic>
          </wp:inline>
        </w:drawing>
      </w:r>
    </w:p>
    <w:p>
      <w:pPr>
        <w:spacing w:before="80" w:after="140"/>
        <w:jc w:val="center"/>
      </w:pPr>
      <w:r>
        <w:drawing>
          <wp:inline xmlns:a="http://schemas.openxmlformats.org/drawingml/2006/main" xmlns:pic="http://schemas.openxmlformats.org/drawingml/2006/picture">
            <wp:extent cx="3160776" cy="176784"/>
            <wp:docPr id="5" name="Picture 5"/>
            <wp:cNvGraphicFramePr>
              <a:graphicFrameLocks noChangeAspect="1"/>
            </wp:cNvGraphicFramePr>
            <a:graphic>
              <a:graphicData uri="http://schemas.openxmlformats.org/drawingml/2006/picture">
                <pic:pic>
                  <pic:nvPicPr>
                    <pic:cNvPr id="0" name="equation_5.png"/>
                    <pic:cNvPicPr/>
                  </pic:nvPicPr>
                  <pic:blipFill>
                    <a:blip r:embed="rId13"/>
                    <a:stretch>
                      <a:fillRect/>
                    </a:stretch>
                  </pic:blipFill>
                  <pic:spPr>
                    <a:xfrm>
                      <a:off x="0" y="0"/>
                      <a:ext cx="3160776" cy="176784"/>
                    </a:xfrm>
                    <a:prstGeom prst="rect"/>
                  </pic:spPr>
                </pic:pic>
              </a:graphicData>
            </a:graphic>
          </wp:inline>
        </w:drawing>
      </w:r>
    </w:p>
    <w:p>
      <w:pPr>
        <w:spacing w:before="80" w:after="140"/>
        <w:jc w:val="center"/>
      </w:pPr>
      <w:r>
        <w:drawing>
          <wp:inline xmlns:a="http://schemas.openxmlformats.org/drawingml/2006/main" xmlns:pic="http://schemas.openxmlformats.org/drawingml/2006/picture">
            <wp:extent cx="3185160" cy="176784"/>
            <wp:docPr id="6" name="Picture 6"/>
            <wp:cNvGraphicFramePr>
              <a:graphicFrameLocks noChangeAspect="1"/>
            </wp:cNvGraphicFramePr>
            <a:graphic>
              <a:graphicData uri="http://schemas.openxmlformats.org/drawingml/2006/picture">
                <pic:pic>
                  <pic:nvPicPr>
                    <pic:cNvPr id="0" name="equation_6.png"/>
                    <pic:cNvPicPr/>
                  </pic:nvPicPr>
                  <pic:blipFill>
                    <a:blip r:embed="rId14"/>
                    <a:stretch>
                      <a:fillRect/>
                    </a:stretch>
                  </pic:blipFill>
                  <pic:spPr>
                    <a:xfrm>
                      <a:off x="0" y="0"/>
                      <a:ext cx="3185160" cy="176784"/>
                    </a:xfrm>
                    <a:prstGeom prst="rect"/>
                  </pic:spPr>
                </pic:pic>
              </a:graphicData>
            </a:graphic>
          </wp:inline>
        </w:drawing>
      </w:r>
    </w:p>
    <w:p>
      <w:r>
        <w:rPr>
          <w:b w:val="0"/>
        </w:rPr>
        <w:t>On three coordinate axes the two generators agree exactly. On the second axis they become arbitrarily close as δ approaches zero. The table compares the observed action x=(0,1,0,0) with the unseen combination x=(1,1,0,0). Both generators are strictly increasing in Z, so their shared quantile coupling gives the exact scalar Wasserstein distance as an expectation of the absolute response difference.</w:t>
      </w:r>
    </w:p>
    <w:p>
      <w:pPr>
        <w:spacing w:before="80" w:after="140"/>
        <w:jc w:val="center"/>
      </w:pPr>
      <w:r>
        <w:drawing>
          <wp:inline xmlns:a="http://schemas.openxmlformats.org/drawingml/2006/main" xmlns:pic="http://schemas.openxmlformats.org/drawingml/2006/picture">
            <wp:extent cx="2474976" cy="164592"/>
            <wp:docPr id="7" name="Picture 7"/>
            <wp:cNvGraphicFramePr>
              <a:graphicFrameLocks noChangeAspect="1"/>
            </wp:cNvGraphicFramePr>
            <a:graphic>
              <a:graphicData uri="http://schemas.openxmlformats.org/drawingml/2006/picture">
                <pic:pic>
                  <pic:nvPicPr>
                    <pic:cNvPr id="0" name="equation_7.png"/>
                    <pic:cNvPicPr/>
                  </pic:nvPicPr>
                  <pic:blipFill>
                    <a:blip r:embed="rId15"/>
                    <a:stretch>
                      <a:fillRect/>
                    </a:stretch>
                  </pic:blipFill>
                  <pic:spPr>
                    <a:xfrm>
                      <a:off x="0" y="0"/>
                      <a:ext cx="2474976" cy="164592"/>
                    </a:xfrm>
                    <a:prstGeom prst="rect"/>
                  </pic:spPr>
                </pic:pic>
              </a:graphicData>
            </a:graphic>
          </wp:inline>
        </w:drawing>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2664"/>
        <w:gridCol w:w="3672"/>
        <w:gridCol w:w="2448"/>
      </w:tblGrid>
      <w:tr>
        <w:trPr>
          <w:tblHeader/>
          <w:cantSplit/>
        </w:trPr>
        <w:tc>
          <w:tcPr>
            <w:tcW w:type="dxa" w:w="1152"/>
            <w:shd w:fill="EAEAEA"/>
            <w:tcMar>
              <w:top w:w="80" w:type="dxa"/>
              <w:left w:w="80" w:type="dxa"/>
              <w:bottom w:w="80" w:type="dxa"/>
              <w:right w:w="80" w:type="dxa"/>
            </w:tcMar>
            <w:vAlign w:val="center"/>
          </w:tcPr>
          <w:p>
            <w:pPr>
              <w:spacing w:after="60" w:line="252" w:lineRule="auto"/>
            </w:pPr>
            <w:r>
              <w:rPr>
                <w:b/>
                <w:sz w:val="19"/>
              </w:rPr>
              <w:t>δ</w:t>
            </w:r>
          </w:p>
        </w:tc>
        <w:tc>
          <w:tcPr>
            <w:tcW w:type="dxa" w:w="2664"/>
            <w:shd w:fill="EAEAEA"/>
            <w:tcMar>
              <w:top w:w="80" w:type="dxa"/>
              <w:left w:w="80" w:type="dxa"/>
              <w:bottom w:w="80" w:type="dxa"/>
              <w:right w:w="80" w:type="dxa"/>
            </w:tcMar>
            <w:vAlign w:val="center"/>
          </w:tcPr>
          <w:p>
            <w:pPr>
              <w:spacing w:after="60" w:line="252" w:lineRule="auto"/>
            </w:pPr>
            <w:r>
              <w:rPr>
                <w:b/>
                <w:sz w:val="19"/>
              </w:rPr>
              <w:t>Second axis W1</w:t>
            </w:r>
          </w:p>
        </w:tc>
        <w:tc>
          <w:tcPr>
            <w:tcW w:type="dxa" w:w="3672"/>
            <w:shd w:fill="EAEAEA"/>
            <w:tcMar>
              <w:top w:w="80" w:type="dxa"/>
              <w:left w:w="80" w:type="dxa"/>
              <w:bottom w:w="80" w:type="dxa"/>
              <w:right w:w="80" w:type="dxa"/>
            </w:tcMar>
            <w:vAlign w:val="center"/>
          </w:tcPr>
          <w:p>
            <w:pPr>
              <w:spacing w:after="60" w:line="252" w:lineRule="auto"/>
            </w:pPr>
            <w:r>
              <w:rPr>
                <w:b/>
                <w:sz w:val="19"/>
              </w:rPr>
              <w:t>Unseen combination W1</w:t>
            </w:r>
          </w:p>
        </w:tc>
        <w:tc>
          <w:tcPr>
            <w:tcW w:type="dxa" w:w="2448"/>
            <w:shd w:fill="EAEAEA"/>
            <w:tcMar>
              <w:top w:w="80" w:type="dxa"/>
              <w:left w:w="80" w:type="dxa"/>
              <w:bottom w:w="80" w:type="dxa"/>
              <w:right w:w="80" w:type="dxa"/>
            </w:tcMar>
            <w:vAlign w:val="center"/>
          </w:tcPr>
          <w:p>
            <w:pPr>
              <w:spacing w:after="60" w:line="252" w:lineRule="auto"/>
            </w:pPr>
            <w:r>
              <w:rPr>
                <w:b/>
                <w:sz w:val="19"/>
              </w:rPr>
              <w:t>Ratio</w:t>
            </w:r>
          </w:p>
        </w:tc>
      </w:tr>
      <w:tr>
        <w:trPr>
          <w:cantSplit/>
        </w:trPr>
        <w:tc>
          <w:tcPr>
            <w:tcW w:type="dxa" w:w="1152"/>
            <w:tcMar>
              <w:top w:w="80" w:type="dxa"/>
              <w:left w:w="80" w:type="dxa"/>
              <w:bottom w:w="80" w:type="dxa"/>
              <w:right w:w="80" w:type="dxa"/>
            </w:tcMar>
            <w:vAlign w:val="center"/>
          </w:tcPr>
          <w:p>
            <w:pPr>
              <w:spacing w:after="60" w:line="252" w:lineRule="auto"/>
            </w:pPr>
            <w:r>
              <w:rPr>
                <w:sz w:val="19"/>
              </w:rPr>
              <w:t>0.1</w:t>
            </w:r>
          </w:p>
        </w:tc>
        <w:tc>
          <w:tcPr>
            <w:tcW w:type="dxa" w:w="2664"/>
            <w:tcMar>
              <w:top w:w="80" w:type="dxa"/>
              <w:left w:w="80" w:type="dxa"/>
              <w:bottom w:w="80" w:type="dxa"/>
              <w:right w:w="80" w:type="dxa"/>
            </w:tcMar>
            <w:vAlign w:val="center"/>
          </w:tcPr>
          <w:p>
            <w:pPr>
              <w:spacing w:after="60" w:line="252" w:lineRule="auto"/>
            </w:pPr>
            <w:r>
              <w:rPr>
                <w:sz w:val="19"/>
              </w:rPr>
              <w:t>0.556071</w:t>
            </w:r>
          </w:p>
        </w:tc>
        <w:tc>
          <w:tcPr>
            <w:tcW w:type="dxa" w:w="3672"/>
            <w:tcMar>
              <w:top w:w="80" w:type="dxa"/>
              <w:left w:w="80" w:type="dxa"/>
              <w:bottom w:w="80" w:type="dxa"/>
              <w:right w:w="80" w:type="dxa"/>
            </w:tcMar>
            <w:vAlign w:val="center"/>
          </w:tcPr>
          <w:p>
            <w:pPr>
              <w:spacing w:after="60" w:line="252" w:lineRule="auto"/>
            </w:pPr>
            <w:r>
              <w:rPr>
                <w:sz w:val="19"/>
              </w:rPr>
              <w:t>3.295503</w:t>
            </w:r>
          </w:p>
        </w:tc>
        <w:tc>
          <w:tcPr>
            <w:tcW w:type="dxa" w:w="2448"/>
            <w:tcMar>
              <w:top w:w="80" w:type="dxa"/>
              <w:left w:w="80" w:type="dxa"/>
              <w:bottom w:w="80" w:type="dxa"/>
              <w:right w:w="80" w:type="dxa"/>
            </w:tcMar>
            <w:vAlign w:val="center"/>
          </w:tcPr>
          <w:p>
            <w:pPr>
              <w:spacing w:after="60" w:line="252" w:lineRule="auto"/>
            </w:pPr>
            <w:r>
              <w:rPr>
                <w:sz w:val="19"/>
              </w:rPr>
              <w:t>5.93</w:t>
            </w:r>
          </w:p>
        </w:tc>
      </w:tr>
      <w:tr>
        <w:trPr>
          <w:cantSplit/>
        </w:trPr>
        <w:tc>
          <w:tcPr>
            <w:tcW w:type="dxa" w:w="1152"/>
            <w:tcMar>
              <w:top w:w="80" w:type="dxa"/>
              <w:left w:w="80" w:type="dxa"/>
              <w:bottom w:w="80" w:type="dxa"/>
              <w:right w:w="80" w:type="dxa"/>
            </w:tcMar>
            <w:vAlign w:val="center"/>
          </w:tcPr>
          <w:p>
            <w:pPr>
              <w:spacing w:after="60" w:line="252" w:lineRule="auto"/>
            </w:pPr>
            <w:r>
              <w:rPr>
                <w:sz w:val="19"/>
              </w:rPr>
              <w:t>0.01</w:t>
            </w:r>
          </w:p>
        </w:tc>
        <w:tc>
          <w:tcPr>
            <w:tcW w:type="dxa" w:w="2664"/>
            <w:tcMar>
              <w:top w:w="80" w:type="dxa"/>
              <w:left w:w="80" w:type="dxa"/>
              <w:bottom w:w="80" w:type="dxa"/>
              <w:right w:w="80" w:type="dxa"/>
            </w:tcMar>
            <w:vAlign w:val="center"/>
          </w:tcPr>
          <w:p>
            <w:pPr>
              <w:spacing w:after="60" w:line="252" w:lineRule="auto"/>
            </w:pPr>
            <w:r>
              <w:rPr>
                <w:sz w:val="19"/>
              </w:rPr>
              <w:t>0.042850</w:t>
            </w:r>
          </w:p>
        </w:tc>
        <w:tc>
          <w:tcPr>
            <w:tcW w:type="dxa" w:w="3672"/>
            <w:tcMar>
              <w:top w:w="80" w:type="dxa"/>
              <w:left w:w="80" w:type="dxa"/>
              <w:bottom w:w="80" w:type="dxa"/>
              <w:right w:w="80" w:type="dxa"/>
            </w:tcMar>
            <w:vAlign w:val="center"/>
          </w:tcPr>
          <w:p>
            <w:pPr>
              <w:spacing w:after="60" w:line="252" w:lineRule="auto"/>
            </w:pPr>
            <w:r>
              <w:rPr>
                <w:sz w:val="19"/>
              </w:rPr>
              <w:t>1.991465</w:t>
            </w:r>
          </w:p>
        </w:tc>
        <w:tc>
          <w:tcPr>
            <w:tcW w:type="dxa" w:w="2448"/>
            <w:tcMar>
              <w:top w:w="80" w:type="dxa"/>
              <w:left w:w="80" w:type="dxa"/>
              <w:bottom w:w="80" w:type="dxa"/>
              <w:right w:w="80" w:type="dxa"/>
            </w:tcMar>
            <w:vAlign w:val="center"/>
          </w:tcPr>
          <w:p>
            <w:pPr>
              <w:spacing w:after="60" w:line="252" w:lineRule="auto"/>
            </w:pPr>
            <w:r>
              <w:rPr>
                <w:sz w:val="19"/>
              </w:rPr>
              <w:t>46.48</w:t>
            </w:r>
          </w:p>
        </w:tc>
      </w:tr>
      <w:tr>
        <w:trPr>
          <w:cantSplit/>
        </w:trPr>
        <w:tc>
          <w:tcPr>
            <w:tcW w:type="dxa" w:w="1152"/>
            <w:tcMar>
              <w:top w:w="80" w:type="dxa"/>
              <w:left w:w="80" w:type="dxa"/>
              <w:bottom w:w="80" w:type="dxa"/>
              <w:right w:w="80" w:type="dxa"/>
            </w:tcMar>
            <w:vAlign w:val="center"/>
          </w:tcPr>
          <w:p>
            <w:pPr>
              <w:spacing w:after="60" w:line="252" w:lineRule="auto"/>
            </w:pPr>
            <w:r>
              <w:rPr>
                <w:sz w:val="19"/>
              </w:rPr>
              <w:t>0.001</w:t>
            </w:r>
          </w:p>
        </w:tc>
        <w:tc>
          <w:tcPr>
            <w:tcW w:type="dxa" w:w="2664"/>
            <w:tcMar>
              <w:top w:w="80" w:type="dxa"/>
              <w:left w:w="80" w:type="dxa"/>
              <w:bottom w:w="80" w:type="dxa"/>
              <w:right w:w="80" w:type="dxa"/>
            </w:tcMar>
            <w:vAlign w:val="center"/>
          </w:tcPr>
          <w:p>
            <w:pPr>
              <w:spacing w:after="60" w:line="252" w:lineRule="auto"/>
            </w:pPr>
            <w:r>
              <w:rPr>
                <w:sz w:val="19"/>
              </w:rPr>
              <w:t>0.004190</w:t>
            </w:r>
          </w:p>
        </w:tc>
        <w:tc>
          <w:tcPr>
            <w:tcW w:type="dxa" w:w="3672"/>
            <w:tcMar>
              <w:top w:w="80" w:type="dxa"/>
              <w:left w:w="80" w:type="dxa"/>
              <w:bottom w:w="80" w:type="dxa"/>
              <w:right w:w="80" w:type="dxa"/>
            </w:tcMar>
            <w:vAlign w:val="center"/>
          </w:tcPr>
          <w:p>
            <w:pPr>
              <w:spacing w:after="60" w:line="252" w:lineRule="auto"/>
            </w:pPr>
            <w:r>
              <w:rPr>
                <w:sz w:val="19"/>
              </w:rPr>
              <w:t>1.896344</w:t>
            </w:r>
          </w:p>
        </w:tc>
        <w:tc>
          <w:tcPr>
            <w:tcW w:type="dxa" w:w="2448"/>
            <w:tcMar>
              <w:top w:w="80" w:type="dxa"/>
              <w:left w:w="80" w:type="dxa"/>
              <w:bottom w:w="80" w:type="dxa"/>
              <w:right w:w="80" w:type="dxa"/>
            </w:tcMar>
            <w:vAlign w:val="center"/>
          </w:tcPr>
          <w:p>
            <w:pPr>
              <w:spacing w:after="60" w:line="252" w:lineRule="auto"/>
            </w:pPr>
            <w:r>
              <w:rPr>
                <w:sz w:val="19"/>
              </w:rPr>
              <w:t>452.55</w:t>
            </w:r>
          </w:p>
        </w:tc>
      </w:tr>
      <w:tr>
        <w:trPr>
          <w:cantSplit/>
        </w:trPr>
        <w:tc>
          <w:tcPr>
            <w:tcW w:type="dxa" w:w="1152"/>
            <w:tcMar>
              <w:top w:w="80" w:type="dxa"/>
              <w:left w:w="80" w:type="dxa"/>
              <w:bottom w:w="80" w:type="dxa"/>
              <w:right w:w="80" w:type="dxa"/>
            </w:tcMar>
            <w:vAlign w:val="center"/>
          </w:tcPr>
          <w:p>
            <w:pPr>
              <w:spacing w:after="60" w:line="252" w:lineRule="auto"/>
            </w:pPr>
            <w:r>
              <w:rPr>
                <w:sz w:val="19"/>
              </w:rPr>
              <w:t>0.0001</w:t>
            </w:r>
          </w:p>
        </w:tc>
        <w:tc>
          <w:tcPr>
            <w:tcW w:type="dxa" w:w="2664"/>
            <w:tcMar>
              <w:top w:w="80" w:type="dxa"/>
              <w:left w:w="80" w:type="dxa"/>
              <w:bottom w:w="80" w:type="dxa"/>
              <w:right w:w="80" w:type="dxa"/>
            </w:tcMar>
            <w:vAlign w:val="center"/>
          </w:tcPr>
          <w:p>
            <w:pPr>
              <w:spacing w:after="60" w:line="252" w:lineRule="auto"/>
            </w:pPr>
            <w:r>
              <w:rPr>
                <w:sz w:val="19"/>
              </w:rPr>
              <w:t>0.000418</w:t>
            </w:r>
          </w:p>
        </w:tc>
        <w:tc>
          <w:tcPr>
            <w:tcW w:type="dxa" w:w="3672"/>
            <w:tcMar>
              <w:top w:w="80" w:type="dxa"/>
              <w:left w:w="80" w:type="dxa"/>
              <w:bottom w:w="80" w:type="dxa"/>
              <w:right w:w="80" w:type="dxa"/>
            </w:tcMar>
            <w:vAlign w:val="center"/>
          </w:tcPr>
          <w:p>
            <w:pPr>
              <w:spacing w:after="60" w:line="252" w:lineRule="auto"/>
            </w:pPr>
            <w:r>
              <w:rPr>
                <w:sz w:val="19"/>
              </w:rPr>
              <w:t>1.887096</w:t>
            </w:r>
          </w:p>
        </w:tc>
        <w:tc>
          <w:tcPr>
            <w:tcW w:type="dxa" w:w="2448"/>
            <w:tcMar>
              <w:top w:w="80" w:type="dxa"/>
              <w:left w:w="80" w:type="dxa"/>
              <w:bottom w:w="80" w:type="dxa"/>
              <w:right w:w="80" w:type="dxa"/>
            </w:tcMar>
            <w:vAlign w:val="center"/>
          </w:tcPr>
          <w:p>
            <w:pPr>
              <w:spacing w:after="60" w:line="252" w:lineRule="auto"/>
            </w:pPr>
            <w:r>
              <w:rPr>
                <w:sz w:val="19"/>
              </w:rPr>
              <w:t>4513.37</w:t>
            </w:r>
          </w:p>
        </w:tc>
      </w:tr>
    </w:tbl>
    <w:p>
      <w:pPr>
        <w:spacing w:after="0"/>
      </w:pPr>
    </w:p>
    <w:p>
      <w:r>
        <w:rPr>
          <w:b w:val="0"/>
        </w:rPr>
        <w:t>These are deterministic numerical integration results in arbitrary response units. The script checks equality on the relevant axes, positive warp derivatives, and agreement with the exact limiting target value. Quadrature error estimates are not certified floating point enclosures. The calculation measures instability, not predictive performance or therapeutic efficacy.</w:t>
      </w:r>
    </w:p>
    <w:p>
      <w:r>
        <w:rPr>
          <w:b w:val="0"/>
        </w:rPr>
        <w:t>For each fixed positive δ, the two warps have different asymptotic growth orders. Their difference over a bounded observed noise range can nevertheless be extremely small. This is why qualitative tail separation alone supplies no useful universal finite data conditioning constant.</w:t>
      </w:r>
    </w:p>
    <w:p>
      <w:pPr>
        <w:pStyle w:val="Heading1"/>
        <w:pageBreakBefore/>
      </w:pPr>
      <w:r>
        <w:t>What the construction establishes and what remains</w:t>
      </w:r>
    </w:p>
    <w:p>
      <w:pPr>
        <w:pStyle w:val="Heading2"/>
      </w:pPr>
      <w:r>
        <w:t>A direct limiting calculation</w:t>
      </w:r>
    </w:p>
    <w:p>
      <w:r>
        <w:rPr>
          <w:b w:val="0"/>
        </w:rPr>
        <w:t>At δ=0, the latent warps coincide. On any coordinate axis the two models induce exactly the same distribution. On the joint action their difference is a positive constant times exp(Z), giving the following nonzero limit.</w:t>
      </w:r>
    </w:p>
    <w:p>
      <w:pPr>
        <w:spacing w:before="80" w:after="140"/>
        <w:jc w:val="center"/>
      </w:pPr>
      <w:r>
        <w:drawing>
          <wp:inline xmlns:a="http://schemas.openxmlformats.org/drawingml/2006/main" xmlns:pic="http://schemas.openxmlformats.org/drawingml/2006/picture">
            <wp:extent cx="4443984" cy="252984"/>
            <wp:docPr id="8" name="Picture 8"/>
            <wp:cNvGraphicFramePr>
              <a:graphicFrameLocks noChangeAspect="1"/>
            </wp:cNvGraphicFramePr>
            <a:graphic>
              <a:graphicData uri="http://schemas.openxmlformats.org/drawingml/2006/picture">
                <pic:pic>
                  <pic:nvPicPr>
                    <pic:cNvPr id="0" name="equation_8.png"/>
                    <pic:cNvPicPr/>
                  </pic:nvPicPr>
                  <pic:blipFill>
                    <a:blip r:embed="rId16"/>
                    <a:stretch>
                      <a:fillRect/>
                    </a:stretch>
                  </pic:blipFill>
                  <pic:spPr>
                    <a:xfrm>
                      <a:off x="0" y="0"/>
                      <a:ext cx="4443984" cy="252984"/>
                    </a:xfrm>
                    <a:prstGeom prst="rect"/>
                  </pic:spPr>
                </pic:pic>
              </a:graphicData>
            </a:graphic>
          </wp:inline>
        </w:drawing>
      </w:r>
    </w:p>
    <w:p>
      <w:r>
        <w:rPr>
          <w:b w:val="0"/>
        </w:rPr>
        <w:t>For δ at most 0.1, Gaussian integrability supplies a common dominating function. Continuity then sends the second axis discrepancy to zero while preserving the nonzero joint action limit. Thus a stability bound valid across these weakly separated examples must deteriorate as δ approaches zero.</w:t>
      </w:r>
    </w:p>
    <w:p>
      <w:pPr>
        <w:pStyle w:val="Heading2"/>
      </w:pPr>
      <w:r>
        <w:t>Careful relation to existing identifiability assumptions</w:t>
      </w:r>
    </w:p>
    <w:p>
      <w:r>
        <w:rPr>
          <w:b w:val="0"/>
        </w:rPr>
        <w:t>The limit δ=0 is deliberately nonidentifiable and violates a nonproportional warp restriction. It is not a counterexample to a theorem requiring that restriction. For every fixed δ the two generators can be compared within one fixed warp class. Their union over different δ values need not satisfy a pooled warp growth condition. Therefore the construction illustrates deterioration across admissible fixed classes; it does not silently claim that the whole union satisfies every hypothesis of one published theorem.</w:t>
      </w:r>
    </w:p>
    <w:p>
      <w:r>
        <w:rPr>
          <w:b w:val="0"/>
        </w:rPr>
        <w:t>The program also computes illustrative Hellinger discrepancies, but does not certify their integration tails. Wasserstein proximity alone does not prove statistical indistinguishability. A formal finite sample lower bound needs Hellinger, total variation, or likelihood control for the complete training experiment. Numerical ratios cannot replace that proof.</w:t>
      </w:r>
    </w:p>
    <w:p>
      <w:pPr>
        <w:pStyle w:val="Heading2"/>
      </w:pPr>
      <w:r>
        <w:t>The potentially publishable step</w:t>
      </w:r>
    </w:p>
    <w:p>
      <w:r>
        <w:rPr>
          <w:b w:val="0"/>
        </w:rPr>
        <w:t>The desired advance is a sharp recovery theory for weakly separated interaction predictions, with a constructive estimator. Prove how the target error scales as the observed mechanisms become hard to distinguish, then show whether predicting a selected contrast needs less information than recovering the full representation. Compare the resulting rate with a matching lower bound.</w:t>
      </w:r>
    </w:p>
    <w:p>
      <w:r>
        <w:rPr>
          <w:b w:val="0"/>
        </w:rPr>
        <w:t>There is an important rejection condition. If a fixed dimensional, well conditioned version reduces to standard maximum likelihood or a routine Fisher information calculation, that restricted result is useful preparation but probably not a substantial contribution. The remaining problem must involve a genuinely nontrivial weak identification regime, structured observation geometry, or nonparametric interaction class.</w:t>
      </w:r>
    </w:p>
    <w:p>
      <w:r>
        <w:rPr>
          <w:b w:val="0"/>
        </w:rPr>
        <w:t>Adding approximate model error needs a separate assumption. An arbitrary term η a₁a₂ is invisible on single factor axes but changes the joint response. No data only test on those axes can exclude it. Robustness to such deviations requires a declared bound, additional combination measurements, or an explicitly partial conclusion.</w:t>
      </w:r>
    </w:p>
    <w:p>
      <w:pPr>
        <w:pStyle w:val="Heading1"/>
        <w:pageBreakBefore/>
      </w:pPr>
      <w:r>
        <w:t>A possible estimator and its novelty test</w:t>
      </w:r>
    </w:p>
    <w:p>
      <w:r>
        <w:rPr>
          <w:b w:val="0"/>
        </w:rPr>
        <w:t>A candidate procedure would learn the response distributions on measured actions, retain a set of interaction mechanisms compatible with those observations, and identify which parts of that uncertainty affect the requested candidate comparison. This is a proposal for investigation, not a newly established algorithm.</w:t>
      </w:r>
    </w:p>
    <w:p>
      <w:pPr>
        <w:pStyle w:val="Heading2"/>
      </w:pPr>
      <w:r>
        <w:t>Observed information and target sensitivity</w:t>
      </w:r>
    </w:p>
    <w:p>
      <w:r>
        <w:rPr>
          <w:b w:val="0"/>
        </w:rPr>
        <w:t>In a finite dimensional normalized version, inspect the score information on observed actions. Compare weakly constrained parameter directions with the derivative of the target contrast. Remove scale and permutation ambiguities before treating a small eigenvalue as evidence of weak learning. A Hessian or Fisher diagnostic alone is standard and must remain a baseline.</w:t>
      </w:r>
    </w:p>
    <w:p>
      <w:r>
        <w:rPr>
          <w:b w:val="0"/>
        </w:rPr>
        <w:t>The new mechanism, if one is found, should regularize or share only the directions justified by the learning problem and produce an estimable target error bound. Prove what happens when the model approaches indistinguishability, rather than assuming all relevant eigenvalues stay uniformly large. An oracle constant that cannot be bounded from data or design is not yet a usable decision rule.</w:t>
      </w:r>
    </w:p>
    <w:p>
      <w:pPr>
        <w:pStyle w:val="Heading2"/>
      </w:pPr>
      <w:r>
        <w:t>Why a set of compatible models is not sufficient novelty</w:t>
      </w:r>
    </w:p>
    <w:p>
      <w:r>
        <w:rPr>
          <w:b w:val="0"/>
        </w:rPr>
        <w:t>Version spaces, confidence sets, profile likelihood and robust optimization are established tools. Taking the minimum and maximum of Δ over such a set is not a contribution by itself. The difficult step is constructing a statistically valid, computationally usable set whose width has the right dependence on the interaction geometry and remains informative beyond the observed combinations.</w:t>
      </w:r>
    </w:p>
    <w:p>
      <w:r>
        <w:rPr>
          <w:b w:val="0"/>
        </w:rPr>
        <w:t>If extra measurements are permitted, the procedure could select an action that separates the competing mechanisms responsible for a ranking ambiguity. This would be a few shot or active design extension, not zero shot learning. Shared representation pure exploration already has strong bandit precedents; a new allocation claim needs an information bound or sample advantage beyond them.</w:t>
      </w:r>
      <w:r>
        <w:t/>
      </w:r>
      <w:r>
        <w:rPr>
          <w:vertAlign w:val="superscript"/>
        </w:rPr>
        <w:footnoteReference w:id="7"/>
      </w:r>
    </w:p>
    <w:p>
      <w:pPr>
        <w:pStyle w:val="Heading2"/>
      </w:pPr>
      <w:r>
        <w:t>Required comparisons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120"/>
      </w:tblGrid>
      <w:tr>
        <w:trPr>
          <w:tblHeader/>
          <w:cantSplit/>
        </w:trPr>
        <w:tc>
          <w:tcPr>
            <w:tcW w:type="dxa" w:w="3816"/>
            <w:shd w:fill="EAEAEA"/>
            <w:tcMar>
              <w:top w:w="80" w:type="dxa"/>
              <w:left w:w="80" w:type="dxa"/>
              <w:bottom w:w="80" w:type="dxa"/>
              <w:right w:w="80" w:type="dxa"/>
            </w:tcMar>
            <w:vAlign w:val="center"/>
          </w:tcPr>
          <w:p>
            <w:pPr>
              <w:spacing w:after="60" w:line="252" w:lineRule="auto"/>
            </w:pPr>
            <w:r>
              <w:rPr>
                <w:b/>
                <w:sz w:val="19"/>
              </w:rPr>
              <w:t>Control</w:t>
            </w:r>
          </w:p>
        </w:tc>
        <w:tc>
          <w:tcPr>
            <w:tcW w:type="dxa" w:w="6120"/>
            <w:shd w:fill="EAEAEA"/>
            <w:tcMar>
              <w:top w:w="80" w:type="dxa"/>
              <w:left w:w="80" w:type="dxa"/>
              <w:bottom w:w="80" w:type="dxa"/>
              <w:right w:w="80" w:type="dxa"/>
            </w:tcMar>
            <w:vAlign w:val="center"/>
          </w:tcPr>
          <w:p>
            <w:pPr>
              <w:spacing w:after="60" w:line="252" w:lineRule="auto"/>
            </w:pPr>
            <w:r>
              <w:rPr>
                <w:b/>
                <w:sz w:val="19"/>
              </w:rPr>
              <w:t>Purpose</w:t>
            </w:r>
          </w:p>
        </w:tc>
      </w:tr>
      <w:tr>
        <w:trPr>
          <w:cantSplit/>
        </w:trPr>
        <w:tc>
          <w:tcPr>
            <w:tcW w:type="dxa" w:w="3816"/>
            <w:tcMar>
              <w:top w:w="80" w:type="dxa"/>
              <w:left w:w="80" w:type="dxa"/>
              <w:bottom w:w="80" w:type="dxa"/>
              <w:right w:w="80" w:type="dxa"/>
            </w:tcMar>
            <w:vAlign w:val="center"/>
          </w:tcPr>
          <w:p>
            <w:pPr>
              <w:spacing w:after="60" w:line="252" w:lineRule="auto"/>
            </w:pPr>
            <w:r>
              <w:rPr>
                <w:sz w:val="19"/>
              </w:rPr>
              <w:t>Additive and pairwise ridge</w:t>
            </w:r>
          </w:p>
        </w:tc>
        <w:tc>
          <w:tcPr>
            <w:tcW w:type="dxa" w:w="6120"/>
            <w:tcMar>
              <w:top w:w="80" w:type="dxa"/>
              <w:left w:w="80" w:type="dxa"/>
              <w:bottom w:w="80" w:type="dxa"/>
              <w:right w:w="80" w:type="dxa"/>
            </w:tcMar>
            <w:vAlign w:val="center"/>
          </w:tcPr>
          <w:p>
            <w:pPr>
              <w:spacing w:after="60" w:line="252" w:lineRule="auto"/>
            </w:pPr>
            <w:r>
              <w:rPr>
                <w:sz w:val="19"/>
              </w:rPr>
              <w:t>Check whether learned nonlinear structure is necessary.</w:t>
            </w:r>
          </w:p>
        </w:tc>
      </w:tr>
      <w:tr>
        <w:trPr>
          <w:cantSplit/>
        </w:trPr>
        <w:tc>
          <w:tcPr>
            <w:tcW w:type="dxa" w:w="3816"/>
            <w:tcMar>
              <w:top w:w="80" w:type="dxa"/>
              <w:left w:w="80" w:type="dxa"/>
              <w:bottom w:w="80" w:type="dxa"/>
              <w:right w:w="80" w:type="dxa"/>
            </w:tcMar>
            <w:vAlign w:val="center"/>
          </w:tcPr>
          <w:p>
            <w:pPr>
              <w:spacing w:after="60" w:line="252" w:lineRule="auto"/>
            </w:pPr>
            <w:r>
              <w:rPr>
                <w:sz w:val="19"/>
              </w:rPr>
              <w:t>Low rank and bilinear transfer</w:t>
            </w:r>
          </w:p>
        </w:tc>
        <w:tc>
          <w:tcPr>
            <w:tcW w:type="dxa" w:w="6120"/>
            <w:tcMar>
              <w:top w:w="80" w:type="dxa"/>
              <w:left w:w="80" w:type="dxa"/>
              <w:bottom w:w="80" w:type="dxa"/>
              <w:right w:w="80" w:type="dxa"/>
            </w:tcMar>
            <w:vAlign w:val="center"/>
          </w:tcPr>
          <w:p>
            <w:pPr>
              <w:spacing w:after="60" w:line="252" w:lineRule="auto"/>
            </w:pPr>
            <w:r>
              <w:rPr>
                <w:sz w:val="19"/>
              </w:rPr>
              <w:t>Rule out existing structured completion explanations.</w:t>
            </w:r>
          </w:p>
        </w:tc>
      </w:tr>
      <w:tr>
        <w:trPr>
          <w:cantSplit/>
        </w:trPr>
        <w:tc>
          <w:tcPr>
            <w:tcW w:type="dxa" w:w="3816"/>
            <w:tcMar>
              <w:top w:w="80" w:type="dxa"/>
              <w:left w:w="80" w:type="dxa"/>
              <w:bottom w:w="80" w:type="dxa"/>
              <w:right w:w="80" w:type="dxa"/>
            </w:tcMar>
            <w:vAlign w:val="center"/>
          </w:tcPr>
          <w:p>
            <w:pPr>
              <w:spacing w:after="60" w:line="252" w:lineRule="auto"/>
            </w:pPr>
            <w:r>
              <w:rPr>
                <w:sz w:val="19"/>
              </w:rPr>
              <w:t>Original distributional interaction learner</w:t>
            </w:r>
          </w:p>
        </w:tc>
        <w:tc>
          <w:tcPr>
            <w:tcW w:type="dxa" w:w="6120"/>
            <w:tcMar>
              <w:top w:w="80" w:type="dxa"/>
              <w:left w:w="80" w:type="dxa"/>
              <w:bottom w:w="80" w:type="dxa"/>
              <w:right w:w="80" w:type="dxa"/>
            </w:tcMar>
            <w:vAlign w:val="center"/>
          </w:tcPr>
          <w:p>
            <w:pPr>
              <w:spacing w:after="60" w:line="252" w:lineRule="auto"/>
            </w:pPr>
            <w:r>
              <w:rPr>
                <w:sz w:val="19"/>
              </w:rPr>
              <w:t>Isolate the value of the new estimator or learning rule.</w:t>
            </w:r>
          </w:p>
        </w:tc>
      </w:tr>
      <w:tr>
        <w:trPr>
          <w:cantSplit/>
        </w:trPr>
        <w:tc>
          <w:tcPr>
            <w:tcW w:type="dxa" w:w="3816"/>
            <w:tcMar>
              <w:top w:w="80" w:type="dxa"/>
              <w:left w:w="80" w:type="dxa"/>
              <w:bottom w:w="80" w:type="dxa"/>
              <w:right w:w="80" w:type="dxa"/>
            </w:tcMar>
            <w:vAlign w:val="center"/>
          </w:tcPr>
          <w:p>
            <w:pPr>
              <w:spacing w:after="60" w:line="252" w:lineRule="auto"/>
            </w:pPr>
            <w:r>
              <w:rPr>
                <w:sz w:val="19"/>
              </w:rPr>
              <w:t>Ordinary likelihood or energy score fit</w:t>
            </w:r>
          </w:p>
        </w:tc>
        <w:tc>
          <w:tcPr>
            <w:tcW w:type="dxa" w:w="6120"/>
            <w:tcMar>
              <w:top w:w="80" w:type="dxa"/>
              <w:left w:w="80" w:type="dxa"/>
              <w:bottom w:w="80" w:type="dxa"/>
              <w:right w:w="80" w:type="dxa"/>
            </w:tcMar>
            <w:vAlign w:val="center"/>
          </w:tcPr>
          <w:p>
            <w:pPr>
              <w:spacing w:after="60" w:line="252" w:lineRule="auto"/>
            </w:pPr>
            <w:r>
              <w:rPr>
                <w:sz w:val="19"/>
              </w:rPr>
              <w:t>Rule out routine estimation and optimization effects.</w:t>
            </w:r>
          </w:p>
        </w:tc>
      </w:tr>
      <w:tr>
        <w:trPr>
          <w:cantSplit/>
        </w:trPr>
        <w:tc>
          <w:tcPr>
            <w:tcW w:type="dxa" w:w="3816"/>
            <w:tcMar>
              <w:top w:w="80" w:type="dxa"/>
              <w:left w:w="80" w:type="dxa"/>
              <w:bottom w:w="80" w:type="dxa"/>
              <w:right w:w="80" w:type="dxa"/>
            </w:tcMar>
            <w:vAlign w:val="center"/>
          </w:tcPr>
          <w:p>
            <w:pPr>
              <w:spacing w:after="60" w:line="252" w:lineRule="auto"/>
            </w:pPr>
            <w:r>
              <w:rPr>
                <w:sz w:val="19"/>
              </w:rPr>
              <w:t>Extrapolation bounds under applicable assumptions</w:t>
            </w:r>
          </w:p>
        </w:tc>
        <w:tc>
          <w:tcPr>
            <w:tcW w:type="dxa" w:w="6120"/>
            <w:tcMar>
              <w:top w:w="80" w:type="dxa"/>
              <w:left w:w="80" w:type="dxa"/>
              <w:bottom w:w="80" w:type="dxa"/>
              <w:right w:w="80" w:type="dxa"/>
            </w:tcMar>
            <w:vAlign w:val="center"/>
          </w:tcPr>
          <w:p>
            <w:pPr>
              <w:spacing w:after="60" w:line="252" w:lineRule="auto"/>
            </w:pPr>
            <w:r>
              <w:rPr>
                <w:sz w:val="19"/>
              </w:rPr>
              <w:t>Separate the new statistical guarantee from existing bounds.</w:t>
            </w:r>
          </w:p>
        </w:tc>
      </w:tr>
      <w:tr>
        <w:trPr>
          <w:cantSplit/>
        </w:trPr>
        <w:tc>
          <w:tcPr>
            <w:tcW w:type="dxa" w:w="3816"/>
            <w:tcMar>
              <w:top w:w="80" w:type="dxa"/>
              <w:left w:w="80" w:type="dxa"/>
              <w:bottom w:w="80" w:type="dxa"/>
              <w:right w:w="80" w:type="dxa"/>
            </w:tcMar>
            <w:vAlign w:val="center"/>
          </w:tcPr>
          <w:p>
            <w:pPr>
              <w:spacing w:after="60" w:line="252" w:lineRule="auto"/>
            </w:pPr>
            <w:r>
              <w:rPr>
                <w:sz w:val="19"/>
              </w:rPr>
              <w:t>Exact toy solution or known parameter oracle</w:t>
            </w:r>
          </w:p>
        </w:tc>
        <w:tc>
          <w:tcPr>
            <w:tcW w:type="dxa" w:w="6120"/>
            <w:tcMar>
              <w:top w:w="80" w:type="dxa"/>
              <w:left w:w="80" w:type="dxa"/>
              <w:bottom w:w="80" w:type="dxa"/>
              <w:right w:w="80" w:type="dxa"/>
            </w:tcMar>
            <w:vAlign w:val="center"/>
          </w:tcPr>
          <w:p>
            <w:pPr>
              <w:spacing w:after="60" w:line="252" w:lineRule="auto"/>
            </w:pPr>
            <w:r>
              <w:rPr>
                <w:sz w:val="19"/>
              </w:rPr>
              <w:t>Expose implementation failures and attainable performance.</w:t>
            </w:r>
          </w:p>
        </w:tc>
      </w:tr>
    </w:tbl>
    <w:p>
      <w:pPr>
        <w:spacing w:after="0"/>
      </w:pPr>
    </w:p>
    <w:p>
      <w:r>
        <w:rPr>
          <w:b w:val="0"/>
        </w:rPr>
        <w:t>The gain must concern the same target, data and cost: smaller target contrast error, fewer measurements, or better selection at a matched error rate. Better in distribution loss or a narrower but invalid interval would not support the claim.</w:t>
      </w:r>
    </w:p>
    <w:p>
      <w:pPr>
        <w:pStyle w:val="Heading1"/>
        <w:pageBreakBefore/>
      </w:pPr>
      <w:r>
        <w:t>Explainability and the siRNA application</w:t>
      </w:r>
    </w:p>
    <w:p>
      <w:r>
        <w:rPr>
          <w:b w:val="0"/>
        </w:rPr>
        <w:t>The recommended explanation is an estimable contrast about a named feasible design change. For a frozen predictor, one can compute its response to a chemistry edit and its pairwise interaction with another edit. For the biological response, those effects must be estimated and evaluated using appropriate measured comparisons. Model fidelity and biological agreement are separate endpoints.</w:t>
      </w:r>
    </w:p>
    <w:p>
      <w:r>
        <w:rPr>
          <w:b w:val="0"/>
        </w:rPr>
        <w:t>GraphSHAP IQ already computes exact higher order interactions for specified message passing architectures by exploiting receptive fields, with stated pooling and output conditions. SPEX uses sparse Fourier structure to explain model interactions. Neither generic interaction attribution nor a graph wrapper is a new contribution.</w:t>
      </w:r>
      <w:r>
        <w:t/>
      </w:r>
      <w:r>
        <w:rPr>
          <w:vertAlign w:val="superscript"/>
        </w:rPr>
        <w:footnoteReference w:id="8"/>
      </w:r>
    </w:p>
    <w:p>
      <w:r>
        <w:rPr>
          <w:b w:val="0"/>
        </w:rPr>
        <w:t>Feature attribution also has formal limits: complete and linear attribution summaries can fail at concrete questions about local model behavior. This motivates stating the explanation task directly, but that motivation is not itself a new theorem.</w:t>
      </w:r>
      <w:r>
        <w:t/>
      </w:r>
      <w:r>
        <w:rPr>
          <w:vertAlign w:val="superscript"/>
        </w:rPr>
        <w:footnoteReference w:id="9"/>
      </w:r>
    </w:p>
    <w:p>
      <w:pPr>
        <w:pStyle w:val="Heading2"/>
      </w:pPr>
      <w:r>
        <w:t>Where a GNN could earn its role</w:t>
      </w:r>
    </w:p>
    <w:p>
      <w:r>
        <w:rPr>
          <w:b w:val="0"/>
        </w:rPr>
        <w:t>A graph encoder can represent monomers, bonds and permitted chemical edits, provided it improves transfer beyond a positional token model. Its explanation should say which measured or inferred interaction supports a candidate change. If the response data do not constrain the interaction sign, the output should preserve that ambiguity. Attention weights cannot turn missing experimental information into evidence.</w:t>
      </w:r>
    </w:p>
    <w:p>
      <w:r>
        <w:rPr>
          <w:b w:val="0"/>
        </w:rPr>
        <w:t>For siRNA, hold assay conditions fixed in the first study and evaluate combinations of known modifications on an auditable sequence background. New target transfer is a separate generalization axis. A continuous dose sweep and a binary modification indicator are not interchangeable; a theorem using intervals of axis coverage cannot simply be applied to isolated chemical categories.</w:t>
      </w:r>
    </w:p>
    <w:p>
      <w:r>
        <w:rPr>
          <w:b w:val="0"/>
        </w:rPr>
        <w:t>Multiple assay factors do not imply that zero shot learning is feasible. Chemistry, delivery, dose, cell state and endpoint can jointly change the response. Unknown assay links can preserve order only when the monotonicity assumption is defensible. Monotone scale factorization already exists, and ALT 2026 quantifies a ranking cost from unknown thresholds under a common order model.</w:t>
      </w:r>
      <w:r>
        <w:t/>
      </w:r>
      <w:r>
        <w:rPr>
          <w:vertAlign w:val="superscript"/>
        </w:rPr>
        <w:footnoteReference w:id="10"/>
      </w:r>
    </w:p>
    <w:p>
      <w:pPr>
        <w:pStyle w:val="Heading2"/>
      </w:pPr>
      <w:r>
        <w:t>Positive evidence that would matter</w:t>
      </w:r>
    </w:p>
    <w:p>
      <w:r>
        <w:rPr>
          <w:b w:val="0"/>
        </w:rPr>
        <w:t>A useful application result would predict held out measured modification contrasts or choose better candidates within comparable assay pools. It should retain a strong sequence baseline and beat chemistry aware token, tabular and graph controls with the same information. A reported gain must survive grouped uncertainty and independent combinations; neither source prediction scores nor analytic fixtures are new held out results.</w:t>
      </w:r>
    </w:p>
    <w:p>
      <w:r>
        <w:rPr>
          <w:b w:val="0"/>
        </w:rPr>
        <w:t>The current project evidence does not establish replicated distributional measurements at the required action coverage. Without them, the theory can be studied on a suitable non RNA benchmark, but its siRNA validation remains a separate data requirement. Do not manufacture replicate distributions by pooling distinct sequences or heterogeneous assays.</w:t>
      </w:r>
    </w:p>
    <w:p>
      <w:pPr>
        <w:pStyle w:val="Heading1"/>
        <w:pageBreakBefore/>
      </w:pPr>
      <w:r>
        <w:t>Explicit open problems in mathematical learning venues</w:t>
      </w:r>
    </w:p>
    <w:p>
      <w:pPr>
        <w:pStyle w:val="Heading2"/>
      </w:pPr>
      <w:r>
        <w:t>Iterative tensor learning with less overparameterization</w:t>
      </w:r>
    </w:p>
    <w:p>
      <w:r>
        <w:rPr>
          <w:b w:val="0"/>
        </w:rPr>
        <w:t>Arvanitakis, Srinivas and Vijayaraghavan ask whether simple iterative methods can decompose rank r third order tensors using fewer than order r squared components. Their setting uses generic or Gaussian smoothed factors and random initialization. One target is convergence with k=o(r²); another is a superlinear lower bound for iterative methods. Existing algebraic recovery algorithms do not solve their question about the dynamics of ALS or gradient descent.</w:t>
      </w:r>
      <w:r>
        <w:t/>
      </w:r>
      <w:r>
        <w:rPr>
          <w:vertAlign w:val="superscript"/>
        </w:rPr>
        <w:footnoteReference w:id="11"/>
      </w:r>
    </w:p>
    <w:p>
      <w:pPr>
        <w:spacing w:before="80" w:after="140"/>
        <w:jc w:val="center"/>
      </w:pPr>
      <w:r>
        <w:drawing>
          <wp:inline xmlns:a="http://schemas.openxmlformats.org/drawingml/2006/main" xmlns:pic="http://schemas.openxmlformats.org/drawingml/2006/picture">
            <wp:extent cx="1941576" cy="417576"/>
            <wp:docPr id="9" name="Picture 9"/>
            <wp:cNvGraphicFramePr>
              <a:graphicFrameLocks noChangeAspect="1"/>
            </wp:cNvGraphicFramePr>
            <a:graphic>
              <a:graphicData uri="http://schemas.openxmlformats.org/drawingml/2006/picture">
                <pic:pic>
                  <pic:nvPicPr>
                    <pic:cNvPr id="0" name="equation_9.png"/>
                    <pic:cNvPicPr/>
                  </pic:nvPicPr>
                  <pic:blipFill>
                    <a:blip r:embed="rId17"/>
                    <a:stretch>
                      <a:fillRect/>
                    </a:stretch>
                  </pic:blipFill>
                  <pic:spPr>
                    <a:xfrm>
                      <a:off x="0" y="0"/>
                      <a:ext cx="1941576" cy="417576"/>
                    </a:xfrm>
                    <a:prstGeom prst="rect"/>
                  </pic:spPr>
                </pic:pic>
              </a:graphicData>
            </a:graphic>
          </wp:inline>
        </w:drawing>
      </w:r>
    </w:p>
    <w:p>
      <w:r>
        <w:rPr>
          <w:b w:val="0"/>
        </w:rPr>
        <w:t>This is a real algorithmic open problem. A sequence by chemistry by context response array supplies an intuitive application connection, but ordinary factorization of that array is not novel. Missing, noisy and selected observations add complications absent from a fully observed tensor result. A restricted random tensor theorem could be worth pursuing; choosing that subclass does not guarantee it is unsolved.</w:t>
      </w:r>
    </w:p>
    <w:p>
      <w:pPr>
        <w:pStyle w:val="Heading2"/>
      </w:pPr>
      <w:r>
        <w:t>When neural learning exceeds fixed linear representations</w:t>
      </w:r>
    </w:p>
    <w:p>
      <w:r>
        <w:rPr>
          <w:b w:val="0"/>
        </w:rPr>
        <w:t>Feldman, Kamath and Srebro ask whether distribution independent learning by ordinary SGD on a benign neural architecture forces low dimension complexity, with a proposed bound proportional to parameter count times training steps. A related question concerns statistical query learning. Distribution dependent separations are already known, so a favorable synthetic dataset or an RNA win over ridge would not resolve the question.</w:t>
      </w:r>
      <w:r>
        <w:t/>
      </w:r>
      <w:r>
        <w:rPr>
          <w:vertAlign w:val="superscript"/>
        </w:rPr>
        <w:footnoteReference w:id="12"/>
      </w:r>
    </w:p>
    <w:p>
      <w:r>
        <w:rPr>
          <w:b w:val="0"/>
        </w:rPr>
        <w:t>This problem speaks directly to the desire for a genuine learned feature advantage. It is also too broad to treat as an immediate experimental pivot. A narrower project would need a precisely restricted hypothesis class and proof strategy, not a bigger benchmark.</w:t>
      </w:r>
    </w:p>
    <w:p>
      <w:pPr>
        <w:pStyle w:val="Heading2"/>
      </w:pPr>
      <w:r>
        <w:t>Whether one adaptive transition is necessary</w:t>
      </w:r>
    </w:p>
    <w:p>
      <w:r>
        <w:rPr>
          <w:b w:val="0"/>
        </w:rPr>
        <w:t>Lau and Scarlett ask whether arbitrary nonadaptive one bit quantizers can match the order optimal adaptive rate for mean estimation over nonparametric finite moment classes. Adaptive and two stage procedures are known; the unresolved regime is general zero adaptivity quantization. Threshold only lower bounds do not cover arbitrary measurable quantizers.</w:t>
      </w:r>
      <w:r>
        <w:t/>
      </w:r>
      <w:r>
        <w:rPr>
          <w:vertAlign w:val="superscript"/>
        </w:rPr>
        <w:footnoteReference w:id="13"/>
      </w:r>
    </w:p>
    <w:p>
      <w:r>
        <w:rPr>
          <w:b w:val="0"/>
        </w:rPr>
        <w:t>This offers a clean information theoretic target. However, assay labels are not automatically a one bit communication problem, and the learner must have the specified query access. It is the least natural fit to the present siRNA project. Select it for a quantized learning agenda, not as a forced therapeutic analogy.</w:t>
      </w:r>
    </w:p>
    <w:p>
      <w:pPr>
        <w:pStyle w:val="Heading1"/>
        <w:pageBreakBefore/>
      </w:pPr>
      <w:r>
        <w:t>Research decision and a bounded mathematical start</w:t>
      </w:r>
    </w:p>
    <w:p>
      <w:r>
        <w:rPr>
          <w:b/>
        </w:rPr>
        <w:t>Choose interaction recoverability if the project must retain a direct path to design and explanations. Choose the tensor question if a clear mathematical open problem matters more than near term siRNA validation. Neither choice supports another broad architecture search at this stage.</w:t>
      </w:r>
    </w:p>
    <w:p>
      <w:pPr>
        <w:pStyle w:val="Heading2"/>
      </w:pPr>
      <w:r>
        <w:t>The first deliverable</w:t>
      </w:r>
    </w:p>
    <w:p>
      <w:r>
        <w:rPr>
          <w:b w:val="0"/>
        </w:rPr>
        <w:t>Write a short theorem specification with the model class, observed experiment, target functional, identifiability symmetries, and exact result claimed beyond the closest papers. Include a table matching every proposed assumption to the theorem it replaces or strengthens. State whether a new result would be a rate improvement, a weaker assumption, a lower bound, or a new efficient algorithm.</w:t>
      </w:r>
    </w:p>
    <w:p>
      <w:r>
        <w:rPr>
          <w:b w:val="0"/>
        </w:rPr>
        <w:t>Use the supplied analytic construction as a falsification test. Prove a likelihood or Hellinger bound on the full training experiment; check whether joint action contrasts stay separated; then attempt an estimator on a normalized two interaction class. If the answer reduces to standard weakly identified parametric estimation, record that and do not call the toy calculation a contribution.</w:t>
      </w:r>
    </w:p>
    <w:p>
      <w:r>
        <w:rPr>
          <w:b w:val="0"/>
        </w:rPr>
        <w:t>For a broader model, identify a quantitative condition on the observed range that supports uniform recovery. Show why it is weaker, sharper or more useful than simply imposing well conditioned latent factors. A candidate result that assumes the desired extrapolation bound as an axiom has not solved the problem.</w:t>
      </w:r>
    </w:p>
    <w:p>
      <w:pPr>
        <w:pStyle w:val="Heading2"/>
      </w:pPr>
      <w:r>
        <w:t>The positive result requirement</w:t>
      </w:r>
    </w:p>
    <w:p>
      <w:r>
        <w:rPr>
          <w:b w:val="0"/>
        </w:rPr>
        <w:t>Mathematical progress can be an actual theorem: an estimator attaining a sharper rate, an algorithm requiring fewer observations, or a lower bound that precisely explains a limitation and motivates an attainable alternative. Empirical progress should then show the predicted advantage over strong controls on held out interactions. An impossibility result alone may be mathematically valuable but would not complete a positive siRNA design system.</w:t>
      </w:r>
    </w:p>
    <w:p>
      <w:r>
        <w:rPr>
          <w:b w:val="0"/>
        </w:rPr>
        <w:t>The analytic diagnostic establishes an instability example, not a positive ML result. No predictor was fitted, no GNN trained, and no RNA efficacy result was established. Existing negative project evidence and the preparation only authorization remain unchanged.</w:t>
      </w:r>
    </w:p>
    <w:p>
      <w:pPr>
        <w:pStyle w:val="Heading2"/>
      </w:pPr>
      <w:r>
        <w:t>Venue fit</w:t>
      </w:r>
    </w:p>
    <w:p>
      <w:r>
        <w:rPr>
          <w:b w:val="0"/>
        </w:rPr>
        <w:t>As an assessment rather than an acceptance prediction: a sharp learnability or optimization theorem fits COLT or ALT; a substantial statistical estimator with full inference theory fits JMLR or a mathematical statistics journal; a new general learning algorithm with theory and convincing empirical evidence can fit ICML, NeurIPS or ICLR. The venue should follow the result, not determine an artificial architecture.</w:t>
      </w:r>
    </w:p>
    <w:p>
      <w:r>
        <w:rPr>
          <w:b w:val="0"/>
        </w:rPr>
        <w:t>The defensible proposal is therefore conditional: characterize and learn interaction contrasts under weak identification and incomplete combinatorial coverage. That is materially more precise than zero shot siRNA design. It remains a research target until its nontrivial distinction is proved and its practical value measured.</w:t>
      </w:r>
    </w:p>
    <w:p>
      <w:pPr>
        <w:pStyle w:val="Heading1"/>
        <w:pageBreakBefore/>
      </w:pPr>
      <w:r>
        <w:t>Sources</w:t>
      </w:r>
    </w:p>
    <w:p>
      <w:r>
        <w:rPr>
          <w:b w:val="0"/>
        </w:rPr>
        <w:t>Primary references below separate peer reviewed results from preprints. The explicit open problem papers document their status at publication. The proposed estimator, analytic diagnostic and recommendation are analytical contributions of this report, not claims attributed to those papers.</w:t>
      </w:r>
    </w:p>
    <w:p>
      <w:pPr>
        <w:spacing w:after="40"/>
      </w:pPr>
      <w:r>
        <w:rPr>
          <w:b w:val="0"/>
        </w:rPr>
      </w:r>
      <w:r>
        <w:rPr>
          <w:b/>
        </w:rPr>
        <w:t xml:space="preserve">1. Šola, Shen and Bühlmann. </w:t>
      </w:r>
      <w:hyperlink r:id="rId18">
        <w:r>
          <w:rPr>
            <w:color w:val="333333"/>
            <w:u w:val="single"/>
          </w:rPr>
          <w:t>Distributional Extrapolation for Interactions</w:t>
        </w:r>
      </w:hyperlink>
      <w:r>
        <w:t>. arXiv 2608.19849v1, 20 August 2026.</w:t>
      </w:r>
    </w:p>
    <w:p>
      <w:pPr>
        <w:spacing w:after="140"/>
      </w:pPr>
      <w:r>
        <w:rPr>
          <w:b w:val="0"/>
          <w:sz w:val="18"/>
        </w:rPr>
        <w:t>Theorems 3.3–3.4, Assumptions 3.2, and Discussion. Preprint; no independent proof audit or reproduction.</w:t>
      </w:r>
    </w:p>
    <w:p>
      <w:pPr>
        <w:spacing w:after="40"/>
      </w:pPr>
      <w:r>
        <w:rPr>
          <w:b w:val="0"/>
        </w:rPr>
      </w:r>
      <w:r>
        <w:rPr>
          <w:b/>
        </w:rPr>
        <w:t xml:space="preserve">2. von Kügelgen et al.. </w:t>
      </w:r>
      <w:hyperlink r:id="rId19">
        <w:r>
          <w:rPr>
            <w:color w:val="333333"/>
            <w:u w:val="single"/>
          </w:rPr>
          <w:t>Extrapolation Guarantees for Perturbation Modeling Under the Additive Latent Shift Assumption</w:t>
        </w:r>
      </w:hyperlink>
      <w:r>
        <w:t>. arXiv 2504.18522v3, 15 May 2026.</w:t>
      </w:r>
    </w:p>
    <w:p>
      <w:pPr>
        <w:spacing w:after="140"/>
      </w:pPr>
      <w:r>
        <w:rPr>
          <w:b w:val="0"/>
          <w:sz w:val="18"/>
        </w:rPr>
        <w:t>Theorems 4.1 and 4.7 and Discussion. Distributional perturbation extrapolation under Gaussian latent shifts.</w:t>
      </w:r>
    </w:p>
    <w:p>
      <w:pPr>
        <w:spacing w:after="40"/>
      </w:pPr>
      <w:r>
        <w:rPr>
          <w:b w:val="0"/>
        </w:rPr>
      </w:r>
      <w:r>
        <w:rPr>
          <w:b/>
        </w:rPr>
        <w:t xml:space="preserve">3. Chen, Guo and Shen. </w:t>
      </w:r>
      <w:hyperlink r:id="rId20">
        <w:r>
          <w:rPr>
            <w:color w:val="333333"/>
            <w:u w:val="single"/>
          </w:rPr>
          <w:t>Error Analysis of Neural Network Based Engression</w:t>
        </w:r>
      </w:hyperlink>
      <w:r>
        <w:t>. arXiv 2607.27723v1, 30 July 2026.</w:t>
      </w:r>
    </w:p>
    <w:p>
      <w:pPr>
        <w:spacing w:after="140"/>
      </w:pPr>
      <w:r>
        <w:rPr>
          <w:b w:val="0"/>
          <w:sz w:val="18"/>
        </w:rPr>
        <w:t>PDF model, risk definition and Theorem 4 inspected; neural conditional-distribution estimation rates.</w:t>
      </w:r>
    </w:p>
    <w:p>
      <w:pPr>
        <w:spacing w:after="40"/>
      </w:pPr>
      <w:r>
        <w:rPr>
          <w:b w:val="0"/>
        </w:rPr>
      </w:r>
      <w:r>
        <w:rPr>
          <w:b/>
        </w:rPr>
        <w:t xml:space="preserve">4. Huang, Xu and Zhu. </w:t>
      </w:r>
      <w:hyperlink r:id="rId21">
        <w:r>
          <w:rPr>
            <w:color w:val="333333"/>
            <w:u w:val="single"/>
          </w:rPr>
          <w:t>Theoretical Analysis of Engression and Reverse Markov Engression</w:t>
        </w:r>
      </w:hyperlink>
      <w:r>
        <w:t>. arXiv 2606.01002, submitted 31 May 2026.</w:t>
      </w:r>
    </w:p>
    <w:p>
      <w:pPr>
        <w:spacing w:after="140"/>
      </w:pPr>
      <w:r>
        <w:rPr>
          <w:b w:val="0"/>
          <w:sz w:val="18"/>
        </w:rPr>
        <w:t>PDF Conditions 1–3 and Theorem 1 inspected. Risk averages over the covariate law used in the statistical problem.</w:t>
      </w:r>
    </w:p>
    <w:p>
      <w:pPr>
        <w:spacing w:after="40"/>
      </w:pPr>
      <w:r>
        <w:rPr>
          <w:b w:val="0"/>
        </w:rPr>
      </w:r>
      <w:r>
        <w:rPr>
          <w:b/>
        </w:rPr>
        <w:t xml:space="preserve">5. Pfister and Bühlmann. </w:t>
      </w:r>
      <w:hyperlink r:id="rId22">
        <w:r>
          <w:rPr>
            <w:color w:val="333333"/>
            <w:u w:val="single"/>
          </w:rPr>
          <w:t>Extrapolation Aware Nonparametric Statistical Inference</w:t>
        </w:r>
      </w:hyperlink>
      <w:r>
        <w:t>. JMLR 27(150), June 2026.</w:t>
      </w:r>
    </w:p>
    <w:p>
      <w:pPr>
        <w:spacing w:after="140"/>
      </w:pPr>
      <w:r>
        <w:rPr>
          <w:b w:val="0"/>
          <w:sz w:val="18"/>
        </w:rPr>
        <w:t>Published PDF, extrapolation assumptions and Theorem 11. Bounds beyond support already have a formal inference framework.</w:t>
      </w:r>
    </w:p>
    <w:p>
      <w:pPr>
        <w:spacing w:after="40"/>
      </w:pPr>
      <w:r>
        <w:rPr>
          <w:b w:val="0"/>
        </w:rPr>
      </w:r>
      <w:r>
        <w:rPr>
          <w:b/>
        </w:rPr>
        <w:t xml:space="preserve">6. Simchowitz, Gupta and Zhang. </w:t>
      </w:r>
      <w:hyperlink r:id="rId23">
        <w:r>
          <w:rPr>
            <w:color w:val="333333"/>
            <w:u w:val="single"/>
          </w:rPr>
          <w:t>Tackling Combinatorial Distribution Shift A Matrix Completion Perspective</w:t>
        </w:r>
      </w:hyperlink>
      <w:r>
        <w:t>. COLT 2023, PMLR 195.</w:t>
      </w:r>
    </w:p>
    <w:p>
      <w:pPr>
        <w:spacing w:after="140"/>
      </w:pPr>
      <w:r>
        <w:rPr>
          <w:b w:val="0"/>
          <w:sz w:val="18"/>
        </w:rPr>
        <w:t>Official abstract: bilinear representation extrapolation with gradual spectral decay; algorithms and statistical guarantees.</w:t>
      </w:r>
    </w:p>
    <w:p>
      <w:pPr>
        <w:spacing w:after="40"/>
      </w:pPr>
      <w:r>
        <w:rPr>
          <w:b w:val="0"/>
        </w:rPr>
      </w:r>
      <w:r>
        <w:rPr>
          <w:b/>
        </w:rPr>
        <w:t xml:space="preserve">7. Mahajan et al.. </w:t>
      </w:r>
      <w:hyperlink r:id="rId24">
        <w:r>
          <w:rPr>
            <w:color w:val="333333"/>
            <w:u w:val="single"/>
          </w:rPr>
          <w:t>Compositional Risk Minimization</w:t>
        </w:r>
      </w:hyperlink>
      <w:r>
        <w:t>. arXiv 2410.06303v2, 2025.</w:t>
      </w:r>
    </w:p>
    <w:p>
      <w:pPr>
        <w:spacing w:after="140"/>
      </w:pPr>
      <w:r>
        <w:rPr>
          <w:b w:val="0"/>
          <w:sz w:val="18"/>
        </w:rPr>
        <w:t>Additive energy models, affine hull extrapolation and impossibility outside the stated region.</w:t>
      </w:r>
    </w:p>
    <w:p>
      <w:pPr>
        <w:spacing w:after="40"/>
      </w:pPr>
      <w:r>
        <w:rPr>
          <w:b w:val="0"/>
        </w:rPr>
      </w:r>
      <w:r>
        <w:rPr>
          <w:b/>
        </w:rPr>
        <w:t xml:space="preserve">8. Lyu and Fu. </w:t>
      </w:r>
      <w:hyperlink r:id="rId25">
        <w:r>
          <w:rPr>
            <w:color w:val="333333"/>
            <w:u w:val="single"/>
          </w:rPr>
          <w:t>On Finite Sample Identifiability of Contrastive Learning Based Nonlinear Independent Component Analysis</w:t>
        </w:r>
      </w:hyperlink>
      <w:r>
        <w:t>. ICML 2022, PMLR 162.</w:t>
      </w:r>
    </w:p>
    <w:p>
      <w:pPr>
        <w:spacing w:after="140"/>
      </w:pPr>
      <w:r>
        <w:rPr>
          <w:b w:val="0"/>
          <w:sz w:val="18"/>
        </w:rPr>
        <w:t>Published finite-sample identification precedent; generic finite-sample representation theory is not an open field.</w:t>
      </w:r>
    </w:p>
    <w:p>
      <w:pPr>
        <w:spacing w:after="40"/>
      </w:pPr>
      <w:r>
        <w:rPr>
          <w:b w:val="0"/>
        </w:rPr>
      </w:r>
      <w:r>
        <w:rPr>
          <w:b/>
        </w:rPr>
        <w:t xml:space="preserve">9. Khemakhem et al.. </w:t>
      </w:r>
      <w:hyperlink r:id="rId26">
        <w:r>
          <w:rPr>
            <w:color w:val="333333"/>
            <w:u w:val="single"/>
          </w:rPr>
          <w:t>Variational Autoencoders and Nonlinear ICA A Unifying Framework</w:t>
        </w:r>
      </w:hyperlink>
      <w:r>
        <w:t>. AISTATS 2020, PMLR 108.</w:t>
      </w:r>
    </w:p>
    <w:p>
      <w:pPr>
        <w:spacing w:after="140"/>
      </w:pPr>
      <w:r>
        <w:rPr>
          <w:b w:val="0"/>
          <w:sz w:val="18"/>
        </w:rPr>
        <w:t>Auxiliary-variable nonlinear ICA and identifiable latent-variable modeling precedent.</w:t>
      </w:r>
    </w:p>
    <w:p>
      <w:pPr>
        <w:spacing w:after="40"/>
      </w:pPr>
      <w:r>
        <w:rPr>
          <w:b w:val="0"/>
        </w:rPr>
      </w:r>
      <w:r>
        <w:rPr>
          <w:b/>
        </w:rPr>
        <w:t xml:space="preserve">10. Hiranandani, Somani, Koyejo and Acharyya. </w:t>
      </w:r>
      <w:hyperlink r:id="rId27">
        <w:r>
          <w:rPr>
            <w:color w:val="333333"/>
            <w:u w:val="single"/>
          </w:rPr>
          <w:t>Clustered Monotone Transforms for Rating Factorization</w:t>
        </w:r>
      </w:hyperlink>
      <w:r>
        <w:t>. arXiv 1811.00159, 2018; ACM proceedings 2019.</w:t>
      </w:r>
    </w:p>
    <w:p>
      <w:pPr>
        <w:spacing w:after="140"/>
      </w:pPr>
      <w:r>
        <w:rPr>
          <w:b w:val="0"/>
          <w:sz w:val="18"/>
        </w:rPr>
        <w:t>Allows per-user, clustered or shared monotone rating transformations with factorization.</w:t>
      </w:r>
    </w:p>
    <w:p>
      <w:pPr>
        <w:pStyle w:val="Heading1"/>
        <w:pageBreakBefore/>
      </w:pPr>
      <w:r>
        <w:t>Sources continued</w:t>
      </w:r>
    </w:p>
    <w:p>
      <w:pPr>
        <w:spacing w:after="40"/>
      </w:pPr>
      <w:r>
        <w:rPr>
          <w:b w:val="0"/>
        </w:rPr>
      </w:r>
      <w:r>
        <w:rPr>
          <w:b/>
        </w:rPr>
        <w:t xml:space="preserve">11. Villemaud, Sankagiri and Grossglauser. </w:t>
      </w:r>
      <w:hyperlink r:id="rId28">
        <w:r>
          <w:rPr>
            <w:color w:val="333333"/>
            <w:u w:val="single"/>
          </w:rPr>
          <w:t>Ranking Items from Discrete Ratings The Cost of Unknown User Thresholds</w:t>
        </w:r>
      </w:hyperlink>
      <w:r>
        <w:t>. ALT 2026, PMLR 313.</w:t>
      </w:r>
    </w:p>
    <w:p>
      <w:pPr>
        <w:spacing w:after="140"/>
      </w:pPr>
      <w:r>
        <w:rPr>
          <w:b w:val="0"/>
          <w:sz w:val="18"/>
        </w:rPr>
        <w:t>Official paper abstract: common latent item order, unknown user thresholds, and query-complexity bounds.</w:t>
      </w:r>
    </w:p>
    <w:p>
      <w:pPr>
        <w:spacing w:after="40"/>
      </w:pPr>
      <w:r>
        <w:rPr>
          <w:b w:val="0"/>
        </w:rPr>
      </w:r>
      <w:r>
        <w:rPr>
          <w:b/>
        </w:rPr>
        <w:t xml:space="preserve">12. Du, Huang and Sun. </w:t>
      </w:r>
      <w:hyperlink r:id="rId29">
        <w:r>
          <w:rPr>
            <w:color w:val="333333"/>
            <w:u w:val="single"/>
          </w:rPr>
          <w:t>Multi task Representation Learning for Pure Exploration in Linear Bandits</w:t>
        </w:r>
      </w:hyperlink>
      <w:r>
        <w:t>. ICML 2023, PMLR 202.</w:t>
      </w:r>
    </w:p>
    <w:p>
      <w:pPr>
        <w:spacing w:after="140"/>
      </w:pPr>
      <w:r>
        <w:rPr>
          <w:b w:val="0"/>
          <w:sz w:val="18"/>
        </w:rPr>
        <w:t>Shared representations and multi-task pure-exploration algorithms already exist.</w:t>
      </w:r>
    </w:p>
    <w:p>
      <w:pPr>
        <w:spacing w:after="40"/>
      </w:pPr>
      <w:r>
        <w:rPr>
          <w:b w:val="0"/>
        </w:rPr>
      </w:r>
      <w:r>
        <w:rPr>
          <w:b/>
        </w:rPr>
        <w:t xml:space="preserve">13. Muschalik et al.. </w:t>
      </w:r>
      <w:hyperlink r:id="rId30">
        <w:r>
          <w:rPr>
            <w:color w:val="333333"/>
            <w:u w:val="single"/>
          </w:rPr>
          <w:t>Exact Computation of Any Order Shapley Interactions for Graph Neural Networks</w:t>
        </w:r>
      </w:hyperlink>
      <w:r>
        <w:t>. ICLR 2025.</w:t>
      </w:r>
    </w:p>
    <w:p>
      <w:pPr>
        <w:spacing w:after="140"/>
      </w:pPr>
      <w:r>
        <w:rPr>
          <w:b w:val="0"/>
          <w:sz w:val="18"/>
        </w:rPr>
        <w:t>Official proceedings: receptive-field structure, exact interactions and linear pooling/output conditions.</w:t>
      </w:r>
    </w:p>
    <w:p>
      <w:pPr>
        <w:spacing w:after="40"/>
      </w:pPr>
      <w:r>
        <w:rPr>
          <w:b w:val="0"/>
        </w:rPr>
      </w:r>
      <w:r>
        <w:rPr>
          <w:b/>
        </w:rPr>
        <w:t xml:space="preserve">14. Kang et al.. </w:t>
      </w:r>
      <w:hyperlink r:id="rId31">
        <w:r>
          <w:rPr>
            <w:color w:val="333333"/>
            <w:u w:val="single"/>
          </w:rPr>
          <w:t>SPEX Scaling Feature Interaction Explanations for LLMs</w:t>
        </w:r>
      </w:hyperlink>
      <w:r>
        <w:t>. ICML 2025, PMLR 267.</w:t>
      </w:r>
    </w:p>
    <w:p>
      <w:pPr>
        <w:spacing w:after="140"/>
      </w:pPr>
      <w:r>
        <w:rPr>
          <w:b w:val="0"/>
          <w:sz w:val="18"/>
        </w:rPr>
        <w:t>Sparse Fourier interaction attribution with model queries; a close generic interaction-explainer precedent.</w:t>
      </w:r>
    </w:p>
    <w:p>
      <w:pPr>
        <w:spacing w:after="40"/>
      </w:pPr>
      <w:r>
        <w:rPr>
          <w:b w:val="0"/>
        </w:rPr>
      </w:r>
      <w:r>
        <w:rPr>
          <w:b/>
        </w:rPr>
        <w:t xml:space="preserve">15. Bilodeau et al.. </w:t>
      </w:r>
      <w:hyperlink r:id="rId32">
        <w:r>
          <w:rPr>
            <w:color w:val="333333"/>
            <w:u w:val="single"/>
          </w:rPr>
          <w:t>Impossibility theorems for feature attribution</w:t>
        </w:r>
      </w:hyperlink>
      <w:r>
        <w:t>. PNAS, 2024.</w:t>
      </w:r>
    </w:p>
    <w:p>
      <w:pPr>
        <w:spacing w:after="140"/>
      </w:pPr>
      <w:r>
        <w:rPr>
          <w:b w:val="0"/>
          <w:sz w:val="18"/>
        </w:rPr>
        <w:t>Complete and linear attributions can fail at specific model-behavior tasks; direct task definitions matter.</w:t>
      </w:r>
    </w:p>
    <w:p>
      <w:pPr>
        <w:spacing w:after="40"/>
      </w:pPr>
      <w:r>
        <w:rPr>
          <w:b w:val="0"/>
        </w:rPr>
      </w:r>
      <w:r>
        <w:rPr>
          <w:b/>
        </w:rPr>
        <w:t xml:space="preserve">16. Arvanitakis, Srinivas and Vijayaraghavan. </w:t>
      </w:r>
      <w:hyperlink r:id="rId33">
        <w:r>
          <w:rPr>
            <w:color w:val="333333"/>
            <w:u w:val="single"/>
          </w:rPr>
          <w:t>Open Problem How much overparametrization is needed for ALS in tensor decomposition</w:t>
        </w:r>
      </w:hyperlink>
      <w:r>
        <w:t>. COLT 2026, PMLR 336.</w:t>
      </w:r>
    </w:p>
    <w:p>
      <w:pPr>
        <w:spacing w:after="140"/>
      </w:pPr>
      <w:r>
        <w:rPr>
          <w:b w:val="0"/>
          <w:sz w:val="18"/>
        </w:rPr>
        <w:t>Complete six-page paper inspected. Explicit algorithmic upper-bound and lower-bound open problems.</w:t>
      </w:r>
    </w:p>
    <w:p>
      <w:pPr>
        <w:spacing w:after="40"/>
      </w:pPr>
      <w:r>
        <w:rPr>
          <w:b w:val="0"/>
        </w:rPr>
      </w:r>
      <w:r>
        <w:rPr>
          <w:b/>
        </w:rPr>
        <w:t xml:space="preserve">17. Feldman, Kamath and Srebro. </w:t>
      </w:r>
      <w:hyperlink r:id="rId34">
        <w:r>
          <w:rPr>
            <w:color w:val="333333"/>
            <w:u w:val="single"/>
          </w:rPr>
          <w:t>Invited Open Problem Is the Power of Deep Learning over Linear Models Inherently Distribution Dependent</w:t>
        </w:r>
      </w:hyperlink>
      <w:r>
        <w:t>. COLT 2026, PMLR 336.</w:t>
      </w:r>
    </w:p>
    <w:p>
      <w:pPr>
        <w:spacing w:after="140"/>
      </w:pPr>
      <w:r>
        <w:rPr>
          <w:b w:val="0"/>
          <w:sz w:val="18"/>
        </w:rPr>
        <w:t>Complete six-page paper inspected. Distribution-independent SGD/SQ learning versus dimension complexity.</w:t>
      </w:r>
    </w:p>
    <w:p>
      <w:pPr>
        <w:spacing w:after="40"/>
      </w:pPr>
      <w:r>
        <w:rPr>
          <w:b w:val="0"/>
        </w:rPr>
      </w:r>
      <w:r>
        <w:rPr>
          <w:b/>
        </w:rPr>
        <w:t xml:space="preserve">18. Lau and Scarlett. </w:t>
      </w:r>
      <w:hyperlink r:id="rId35">
        <w:r>
          <w:rPr>
            <w:color w:val="333333"/>
            <w:u w:val="single"/>
          </w:rPr>
          <w:t>Open Problem Is Interaction Necessary for Order Optimal 1 bit Mean Estimation</w:t>
        </w:r>
      </w:hyperlink>
      <w:r>
        <w:t>. COLT 2026, PMLR 336.</w:t>
      </w:r>
    </w:p>
    <w:p>
      <w:pPr>
        <w:spacing w:after="140"/>
      </w:pPr>
      <w:r>
        <w:rPr>
          <w:b w:val="0"/>
          <w:sz w:val="18"/>
        </w:rPr>
        <w:t>Complete six-page paper inspected. Arbitrary nonadaptive quantizers under nonparametric moment assumptions.</w:t>
      </w:r>
    </w:p>
    <w:p>
      <w:pPr>
        <w:spacing w:after="40"/>
      </w:pPr>
      <w:r>
        <w:rPr>
          <w:b w:val="0"/>
        </w:rPr>
      </w:r>
      <w:r>
        <w:rPr>
          <w:b/>
        </w:rPr>
        <w:t xml:space="preserve">19. Shen and Meinshausen. </w:t>
      </w:r>
      <w:hyperlink r:id="rId36">
        <w:r>
          <w:rPr>
            <w:color w:val="333333"/>
            <w:u w:val="single"/>
          </w:rPr>
          <w:t>Engression Extrapolation through the Lens of Distributional Regression</w:t>
        </w:r>
      </w:hyperlink>
      <w:r>
        <w:t>. JRSS Series B 87(3), 2025; preprint first posted 2023.</w:t>
      </w:r>
    </w:p>
    <w:p>
      <w:pPr>
        <w:spacing w:after="140"/>
      </w:pPr>
      <w:r>
        <w:rPr>
          <w:b w:val="0"/>
          <w:sz w:val="18"/>
        </w:rPr>
        <w:t>Distributional regression and pre-additive-noise extrapolation precedent, including specific finite-sample settings.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spacing w:after="40" w:line="220" w:lineRule="auto"/>
      </w:pPr>
      <w:r>
        <w:rPr>
          <w:sz w:val="17"/>
          <w:rFonts w:ascii="Arial" w:hAnsi="Arial"/>
          <w:vertAlign w:val="superscript"/>
        </w:rPr>
        <w:footnoteRef/>
      </w:r>
      <w:r>
        <w:rPr>
          <w:sz w:val="17"/>
          <w:rFonts w:ascii="Arial" w:hAnsi="Arial"/>
        </w:rPr>
        <w:t xml:space="preserve"> Šola, Shen and Bühlmann. </w:t>
      </w:r>
      <w:hyperlink r:id="rId1_0">
        <w:r>
          <w:rPr>
            <w:sz w:val="17"/>
            <w:rFonts w:ascii="Arial" w:hAnsi="Arial"/>
          </w:rPr>
          <w:t xml:space="preserve">Distributional Extrapolation for Interactions</w:t>
        </w:r>
      </w:hyperlink>
      <w:r>
        <w:rPr>
          <w:sz w:val="17"/>
          <w:rFonts w:ascii="Arial" w:hAnsi="Arial"/>
        </w:rPr>
        <w:t xml:space="preserve">. arXiv 2608.19849v1, 20 August 2026.</w:t>
      </w:r>
    </w:p>
  </w:footnote>
  <w:footnote w:id="2">
    <w:p>
      <w:pPr>
        <w:spacing w:after="40" w:line="220" w:lineRule="auto"/>
      </w:pPr>
      <w:r>
        <w:rPr>
          <w:sz w:val="17"/>
          <w:rFonts w:ascii="Arial" w:hAnsi="Arial"/>
          <w:vertAlign w:val="superscript"/>
        </w:rPr>
        <w:footnoteRef/>
      </w:r>
      <w:r>
        <w:rPr>
          <w:sz w:val="17"/>
          <w:rFonts w:ascii="Arial" w:hAnsi="Arial"/>
        </w:rPr>
        <w:t xml:space="preserve"> von Kügelgen et al. </w:t>
      </w:r>
      <w:hyperlink r:id="rId2_0">
        <w:r>
          <w:rPr>
            <w:sz w:val="17"/>
            <w:rFonts w:ascii="Arial" w:hAnsi="Arial"/>
          </w:rPr>
          <w:t xml:space="preserve">Extrapolation Guarantees for Perturbation Modeling Under the Additive Latent Shift Assumption</w:t>
        </w:r>
      </w:hyperlink>
      <w:r>
        <w:rPr>
          <w:sz w:val="17"/>
          <w:rFonts w:ascii="Arial" w:hAnsi="Arial"/>
        </w:rPr>
        <w:t xml:space="preserve">. arXiv 2504.18522v3, 15 May 2026.</w:t>
      </w:r>
    </w:p>
  </w:footnote>
  <w:footnote w:id="3">
    <w:p>
      <w:pPr>
        <w:spacing w:after="40" w:line="220" w:lineRule="auto"/>
      </w:pPr>
      <w:r>
        <w:rPr>
          <w:sz w:val="17"/>
          <w:rFonts w:ascii="Arial" w:hAnsi="Arial"/>
          <w:vertAlign w:val="superscript"/>
        </w:rPr>
        <w:footnoteRef/>
      </w:r>
      <w:r>
        <w:rPr>
          <w:sz w:val="17"/>
          <w:rFonts w:ascii="Arial" w:hAnsi="Arial"/>
        </w:rPr>
        <w:t xml:space="preserve"> Simchowitz, Gupta and Zhang. </w:t>
      </w:r>
      <w:hyperlink r:id="rId3_0">
        <w:r>
          <w:rPr>
            <w:sz w:val="17"/>
            <w:rFonts w:ascii="Arial" w:hAnsi="Arial"/>
          </w:rPr>
          <w:t xml:space="preserve">Tackling Combinatorial Distribution Shift A Matrix Completion Perspective</w:t>
        </w:r>
      </w:hyperlink>
      <w:r>
        <w:rPr>
          <w:sz w:val="17"/>
          <w:rFonts w:ascii="Arial" w:hAnsi="Arial"/>
        </w:rPr>
        <w:t xml:space="preserve">. COLT 2023, PMLR 195.</w:t>
      </w:r>
      <w:r>
        <w:rPr>
          <w:sz w:val="17"/>
          <w:rFonts w:ascii="Arial" w:hAnsi="Arial"/>
        </w:rPr>
        <w:t xml:space="preserve"> Mahajan et al. </w:t>
      </w:r>
      <w:hyperlink r:id="rId3_1">
        <w:r>
          <w:rPr>
            <w:sz w:val="17"/>
            <w:rFonts w:ascii="Arial" w:hAnsi="Arial"/>
          </w:rPr>
          <w:t xml:space="preserve">Compositional Risk Minimization</w:t>
        </w:r>
      </w:hyperlink>
      <w:r>
        <w:rPr>
          <w:sz w:val="17"/>
          <w:rFonts w:ascii="Arial" w:hAnsi="Arial"/>
        </w:rPr>
        <w:t xml:space="preserve">. arXiv 2410.06303v2, 2025.</w:t>
      </w:r>
    </w:p>
  </w:footnote>
  <w:footnote w:id="4">
    <w:p>
      <w:pPr>
        <w:spacing w:after="40" w:line="220" w:lineRule="auto"/>
      </w:pPr>
      <w:r>
        <w:rPr>
          <w:sz w:val="17"/>
          <w:rFonts w:ascii="Arial" w:hAnsi="Arial"/>
          <w:vertAlign w:val="superscript"/>
        </w:rPr>
        <w:footnoteRef/>
      </w:r>
      <w:r>
        <w:rPr>
          <w:sz w:val="17"/>
          <w:rFonts w:ascii="Arial" w:hAnsi="Arial"/>
        </w:rPr>
        <w:t xml:space="preserve"> Chen, Guo and Shen. </w:t>
      </w:r>
      <w:hyperlink r:id="rId4_0">
        <w:r>
          <w:rPr>
            <w:sz w:val="17"/>
            <w:rFonts w:ascii="Arial" w:hAnsi="Arial"/>
          </w:rPr>
          <w:t xml:space="preserve">Error Analysis of Neural Network Based Engression</w:t>
        </w:r>
      </w:hyperlink>
      <w:r>
        <w:rPr>
          <w:sz w:val="17"/>
          <w:rFonts w:ascii="Arial" w:hAnsi="Arial"/>
        </w:rPr>
        <w:t xml:space="preserve">. arXiv 2607.27723v1, 30 July 2026.</w:t>
      </w:r>
      <w:r>
        <w:rPr>
          <w:sz w:val="17"/>
          <w:rFonts w:ascii="Arial" w:hAnsi="Arial"/>
        </w:rPr>
        <w:t xml:space="preserve"> Huang, Xu and Zhu. </w:t>
      </w:r>
      <w:hyperlink r:id="rId4_1">
        <w:r>
          <w:rPr>
            <w:sz w:val="17"/>
            <w:rFonts w:ascii="Arial" w:hAnsi="Arial"/>
          </w:rPr>
          <w:t xml:space="preserve">Theoretical Analysis of Engression and Reverse Markov Engression</w:t>
        </w:r>
      </w:hyperlink>
      <w:r>
        <w:rPr>
          <w:sz w:val="17"/>
          <w:rFonts w:ascii="Arial" w:hAnsi="Arial"/>
        </w:rPr>
        <w:t xml:space="preserve">. arXiv 2606.01002, submitted 31 May 2026.</w:t>
      </w:r>
    </w:p>
  </w:footnote>
  <w:footnote w:id="5">
    <w:p>
      <w:pPr>
        <w:spacing w:after="40" w:line="220" w:lineRule="auto"/>
      </w:pPr>
      <w:r>
        <w:rPr>
          <w:sz w:val="17"/>
          <w:rFonts w:ascii="Arial" w:hAnsi="Arial"/>
          <w:vertAlign w:val="superscript"/>
        </w:rPr>
        <w:footnoteRef/>
      </w:r>
      <w:r>
        <w:rPr>
          <w:sz w:val="17"/>
          <w:rFonts w:ascii="Arial" w:hAnsi="Arial"/>
        </w:rPr>
        <w:t xml:space="preserve"> Pfister and Bühlmann. </w:t>
      </w:r>
      <w:hyperlink r:id="rId5_0">
        <w:r>
          <w:rPr>
            <w:sz w:val="17"/>
            <w:rFonts w:ascii="Arial" w:hAnsi="Arial"/>
          </w:rPr>
          <w:t xml:space="preserve">Extrapolation Aware Nonparametric Statistical Inference</w:t>
        </w:r>
      </w:hyperlink>
      <w:r>
        <w:rPr>
          <w:sz w:val="17"/>
          <w:rFonts w:ascii="Arial" w:hAnsi="Arial"/>
        </w:rPr>
        <w:t xml:space="preserve">. JMLR 27(150), June 2026.</w:t>
      </w:r>
    </w:p>
  </w:footnote>
  <w:footnote w:id="6">
    <w:p>
      <w:pPr>
        <w:spacing w:after="40" w:line="220" w:lineRule="auto"/>
      </w:pPr>
      <w:r>
        <w:rPr>
          <w:sz w:val="17"/>
          <w:rFonts w:ascii="Arial" w:hAnsi="Arial"/>
          <w:vertAlign w:val="superscript"/>
        </w:rPr>
        <w:footnoteRef/>
      </w:r>
      <w:r>
        <w:rPr>
          <w:sz w:val="17"/>
          <w:rFonts w:ascii="Arial" w:hAnsi="Arial"/>
        </w:rPr>
        <w:t xml:space="preserve"> Lyu and Fu. </w:t>
      </w:r>
      <w:hyperlink r:id="rId6_0">
        <w:r>
          <w:rPr>
            <w:sz w:val="17"/>
            <w:rFonts w:ascii="Arial" w:hAnsi="Arial"/>
          </w:rPr>
          <w:t xml:space="preserve">On Finite Sample Identifiability of Contrastive Learning Based Nonlinear Independent Component Analysis</w:t>
        </w:r>
      </w:hyperlink>
      <w:r>
        <w:rPr>
          <w:sz w:val="17"/>
          <w:rFonts w:ascii="Arial" w:hAnsi="Arial"/>
        </w:rPr>
        <w:t xml:space="preserve">. ICML 2022, PMLR 162.</w:t>
      </w:r>
      <w:r>
        <w:rPr>
          <w:sz w:val="17"/>
          <w:rFonts w:ascii="Arial" w:hAnsi="Arial"/>
        </w:rPr>
        <w:t xml:space="preserve"> Khemakhem et al. </w:t>
      </w:r>
      <w:hyperlink r:id="rId6_1">
        <w:r>
          <w:rPr>
            <w:sz w:val="17"/>
            <w:rFonts w:ascii="Arial" w:hAnsi="Arial"/>
          </w:rPr>
          <w:t xml:space="preserve">Variational Autoencoders and Nonlinear ICA A Unifying Framework</w:t>
        </w:r>
      </w:hyperlink>
      <w:r>
        <w:rPr>
          <w:sz w:val="17"/>
          <w:rFonts w:ascii="Arial" w:hAnsi="Arial"/>
        </w:rPr>
        <w:t xml:space="preserve">. AISTATS 2020, PMLR 108.</w:t>
      </w:r>
    </w:p>
  </w:footnote>
  <w:footnote w:id="7">
    <w:p>
      <w:pPr>
        <w:spacing w:after="40" w:line="220" w:lineRule="auto"/>
      </w:pPr>
      <w:r>
        <w:rPr>
          <w:sz w:val="17"/>
          <w:rFonts w:ascii="Arial" w:hAnsi="Arial"/>
          <w:vertAlign w:val="superscript"/>
        </w:rPr>
        <w:footnoteRef/>
      </w:r>
      <w:r>
        <w:rPr>
          <w:sz w:val="17"/>
          <w:rFonts w:ascii="Arial" w:hAnsi="Arial"/>
        </w:rPr>
        <w:t xml:space="preserve"> Du, Huang and Sun. </w:t>
      </w:r>
      <w:hyperlink r:id="rId7_0">
        <w:r>
          <w:rPr>
            <w:sz w:val="17"/>
            <w:rFonts w:ascii="Arial" w:hAnsi="Arial"/>
          </w:rPr>
          <w:t xml:space="preserve">Multi task Representation Learning for Pure Exploration in Linear Bandits</w:t>
        </w:r>
      </w:hyperlink>
      <w:r>
        <w:rPr>
          <w:sz w:val="17"/>
          <w:rFonts w:ascii="Arial" w:hAnsi="Arial"/>
        </w:rPr>
        <w:t xml:space="preserve">. ICML 2023, PMLR 202.</w:t>
      </w:r>
    </w:p>
  </w:footnote>
  <w:footnote w:id="8">
    <w:p>
      <w:pPr>
        <w:spacing w:after="40" w:line="220" w:lineRule="auto"/>
      </w:pPr>
      <w:r>
        <w:rPr>
          <w:sz w:val="17"/>
          <w:rFonts w:ascii="Arial" w:hAnsi="Arial"/>
          <w:vertAlign w:val="superscript"/>
        </w:rPr>
        <w:footnoteRef/>
      </w:r>
      <w:r>
        <w:rPr>
          <w:sz w:val="17"/>
          <w:rFonts w:ascii="Arial" w:hAnsi="Arial"/>
        </w:rPr>
        <w:t xml:space="preserve"> Muschalik et al. </w:t>
      </w:r>
      <w:hyperlink r:id="rId8_0">
        <w:r>
          <w:rPr>
            <w:sz w:val="17"/>
            <w:rFonts w:ascii="Arial" w:hAnsi="Arial"/>
          </w:rPr>
          <w:t xml:space="preserve">Exact Computation of Any Order Shapley Interactions for Graph Neural Networks</w:t>
        </w:r>
      </w:hyperlink>
      <w:r>
        <w:rPr>
          <w:sz w:val="17"/>
          <w:rFonts w:ascii="Arial" w:hAnsi="Arial"/>
        </w:rPr>
        <w:t xml:space="preserve">. ICLR 2025.</w:t>
      </w:r>
      <w:r>
        <w:rPr>
          <w:sz w:val="17"/>
          <w:rFonts w:ascii="Arial" w:hAnsi="Arial"/>
        </w:rPr>
        <w:t xml:space="preserve"> Kang et al. </w:t>
      </w:r>
      <w:hyperlink r:id="rId8_1">
        <w:r>
          <w:rPr>
            <w:sz w:val="17"/>
            <w:rFonts w:ascii="Arial" w:hAnsi="Arial"/>
          </w:rPr>
          <w:t xml:space="preserve">SPEX Scaling Feature Interaction Explanations for LLMs</w:t>
        </w:r>
      </w:hyperlink>
      <w:r>
        <w:rPr>
          <w:sz w:val="17"/>
          <w:rFonts w:ascii="Arial" w:hAnsi="Arial"/>
        </w:rPr>
        <w:t xml:space="preserve">. ICML 2025, PMLR 267.</w:t>
      </w:r>
    </w:p>
  </w:footnote>
  <w:footnote w:id="9">
    <w:p>
      <w:pPr>
        <w:spacing w:after="40" w:line="220" w:lineRule="auto"/>
      </w:pPr>
      <w:r>
        <w:rPr>
          <w:sz w:val="17"/>
          <w:rFonts w:ascii="Arial" w:hAnsi="Arial"/>
          <w:vertAlign w:val="superscript"/>
        </w:rPr>
        <w:footnoteRef/>
      </w:r>
      <w:r>
        <w:rPr>
          <w:sz w:val="17"/>
          <w:rFonts w:ascii="Arial" w:hAnsi="Arial"/>
        </w:rPr>
        <w:t xml:space="preserve"> Bilodeau et al. </w:t>
      </w:r>
      <w:hyperlink r:id="rId9_0">
        <w:r>
          <w:rPr>
            <w:sz w:val="17"/>
            <w:rFonts w:ascii="Arial" w:hAnsi="Arial"/>
          </w:rPr>
          <w:t xml:space="preserve">Impossibility theorems for feature attribution</w:t>
        </w:r>
      </w:hyperlink>
      <w:r>
        <w:rPr>
          <w:sz w:val="17"/>
          <w:rFonts w:ascii="Arial" w:hAnsi="Arial"/>
        </w:rPr>
        <w:t xml:space="preserve">. PNAS, 2024.</w:t>
      </w:r>
    </w:p>
  </w:footnote>
  <w:footnote w:id="10">
    <w:p>
      <w:pPr>
        <w:spacing w:after="40" w:line="220" w:lineRule="auto"/>
      </w:pPr>
      <w:r>
        <w:rPr>
          <w:sz w:val="17"/>
          <w:rFonts w:ascii="Arial" w:hAnsi="Arial"/>
          <w:vertAlign w:val="superscript"/>
        </w:rPr>
        <w:footnoteRef/>
      </w:r>
      <w:r>
        <w:rPr>
          <w:sz w:val="17"/>
          <w:rFonts w:ascii="Arial" w:hAnsi="Arial"/>
        </w:rPr>
        <w:t xml:space="preserve"> Hiranandani, Somani, Koyejo and Acharyya. </w:t>
      </w:r>
      <w:hyperlink r:id="rId10_0">
        <w:r>
          <w:rPr>
            <w:sz w:val="17"/>
            <w:rFonts w:ascii="Arial" w:hAnsi="Arial"/>
          </w:rPr>
          <w:t xml:space="preserve">Clustered Monotone Transforms for Rating Factorization</w:t>
        </w:r>
      </w:hyperlink>
      <w:r>
        <w:rPr>
          <w:sz w:val="17"/>
          <w:rFonts w:ascii="Arial" w:hAnsi="Arial"/>
        </w:rPr>
        <w:t xml:space="preserve">. arXiv 1811.00159, 2018; ACM proceedings 2019.</w:t>
      </w:r>
      <w:r>
        <w:rPr>
          <w:sz w:val="17"/>
          <w:rFonts w:ascii="Arial" w:hAnsi="Arial"/>
        </w:rPr>
        <w:t xml:space="preserve"> Villemaud, Sankagiri and Grossglauser. </w:t>
      </w:r>
      <w:hyperlink r:id="rId10_1">
        <w:r>
          <w:rPr>
            <w:sz w:val="17"/>
            <w:rFonts w:ascii="Arial" w:hAnsi="Arial"/>
          </w:rPr>
          <w:t xml:space="preserve">Ranking Items from Discrete Ratings The Cost of Unknown User Thresholds</w:t>
        </w:r>
      </w:hyperlink>
      <w:r>
        <w:rPr>
          <w:sz w:val="17"/>
          <w:rFonts w:ascii="Arial" w:hAnsi="Arial"/>
        </w:rPr>
        <w:t xml:space="preserve">. ALT 2026, PMLR 313.</w:t>
      </w:r>
    </w:p>
  </w:footnote>
  <w:footnote w:id="11">
    <w:p>
      <w:pPr>
        <w:spacing w:after="40" w:line="220" w:lineRule="auto"/>
      </w:pPr>
      <w:r>
        <w:rPr>
          <w:sz w:val="17"/>
          <w:rFonts w:ascii="Arial" w:hAnsi="Arial"/>
          <w:vertAlign w:val="superscript"/>
        </w:rPr>
        <w:footnoteRef/>
      </w:r>
      <w:r>
        <w:rPr>
          <w:sz w:val="17"/>
          <w:rFonts w:ascii="Arial" w:hAnsi="Arial"/>
        </w:rPr>
        <w:t xml:space="preserve"> Arvanitakis, Srinivas and Vijayaraghavan. </w:t>
      </w:r>
      <w:hyperlink r:id="rId11_0">
        <w:r>
          <w:rPr>
            <w:sz w:val="17"/>
            <w:rFonts w:ascii="Arial" w:hAnsi="Arial"/>
          </w:rPr>
          <w:t xml:space="preserve">Open Problem How much overparametrization is needed for ALS in tensor decomposition</w:t>
        </w:r>
      </w:hyperlink>
      <w:r>
        <w:rPr>
          <w:sz w:val="17"/>
          <w:rFonts w:ascii="Arial" w:hAnsi="Arial"/>
        </w:rPr>
        <w:t xml:space="preserve">. COLT 2026, PMLR 336.</w:t>
      </w:r>
    </w:p>
  </w:footnote>
  <w:footnote w:id="12">
    <w:p>
      <w:pPr>
        <w:spacing w:after="40" w:line="220" w:lineRule="auto"/>
      </w:pPr>
      <w:r>
        <w:rPr>
          <w:sz w:val="17"/>
          <w:rFonts w:ascii="Arial" w:hAnsi="Arial"/>
          <w:vertAlign w:val="superscript"/>
        </w:rPr>
        <w:footnoteRef/>
      </w:r>
      <w:r>
        <w:rPr>
          <w:sz w:val="17"/>
          <w:rFonts w:ascii="Arial" w:hAnsi="Arial"/>
        </w:rPr>
        <w:t xml:space="preserve"> Feldman, Kamath and Srebro. </w:t>
      </w:r>
      <w:hyperlink r:id="rId12_0">
        <w:r>
          <w:rPr>
            <w:sz w:val="17"/>
            <w:rFonts w:ascii="Arial" w:hAnsi="Arial"/>
          </w:rPr>
          <w:t xml:space="preserve">Invited Open Problem Is the Power of Deep Learning over Linear Models Inherently Distribution Dependent</w:t>
        </w:r>
      </w:hyperlink>
      <w:r>
        <w:rPr>
          <w:sz w:val="17"/>
          <w:rFonts w:ascii="Arial" w:hAnsi="Arial"/>
        </w:rPr>
        <w:t xml:space="preserve">. COLT 2026, PMLR 336.</w:t>
      </w:r>
    </w:p>
  </w:footnote>
  <w:footnote w:id="13">
    <w:p>
      <w:pPr>
        <w:spacing w:after="40" w:line="220" w:lineRule="auto"/>
      </w:pPr>
      <w:r>
        <w:rPr>
          <w:sz w:val="17"/>
          <w:rFonts w:ascii="Arial" w:hAnsi="Arial"/>
          <w:vertAlign w:val="superscript"/>
        </w:rPr>
        <w:footnoteRef/>
      </w:r>
      <w:r>
        <w:rPr>
          <w:sz w:val="17"/>
          <w:rFonts w:ascii="Arial" w:hAnsi="Arial"/>
        </w:rPr>
        <w:t xml:space="preserve"> Lau and Scarlett. </w:t>
      </w:r>
      <w:hyperlink r:id="rId13_0">
        <w:r>
          <w:rPr>
            <w:sz w:val="17"/>
            <w:rFonts w:ascii="Arial" w:hAnsi="Arial"/>
          </w:rPr>
          <w:t xml:space="preserve">Open Problem Is Interaction Necessary for Order Optimal 1 bit Mean Estimation</w:t>
        </w:r>
      </w:hyperlink>
      <w:r>
        <w:rPr>
          <w:sz w:val="17"/>
          <w:rFonts w:ascii="Arial" w:hAnsi="Arial"/>
        </w:rPr>
        <w:t xml:space="preserve">. COLT 2026, PMLR 336.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yperlink" Target="https://arxiv.org/html/2608.19849v1" TargetMode="External"/><Relationship Id="rId19" Type="http://schemas.openxmlformats.org/officeDocument/2006/relationships/hyperlink" Target="https://arxiv.org/html/2504.18522v3" TargetMode="External"/><Relationship Id="rId20" Type="http://schemas.openxmlformats.org/officeDocument/2006/relationships/hyperlink" Target="https://arxiv.org/abs/2607.27723" TargetMode="External"/><Relationship Id="rId21" Type="http://schemas.openxmlformats.org/officeDocument/2006/relationships/hyperlink" Target="https://arxiv.org/abs/2606.01002" TargetMode="External"/><Relationship Id="rId22" Type="http://schemas.openxmlformats.org/officeDocument/2006/relationships/hyperlink" Target="https://jmlr.org/papers/v27/24-0838.html" TargetMode="External"/><Relationship Id="rId23" Type="http://schemas.openxmlformats.org/officeDocument/2006/relationships/hyperlink" Target="https://proceedings.mlr.press/v195/simchowitz23a.html" TargetMode="External"/><Relationship Id="rId24" Type="http://schemas.openxmlformats.org/officeDocument/2006/relationships/hyperlink" Target="https://arxiv.org/html/2410.06303v2" TargetMode="External"/><Relationship Id="rId25" Type="http://schemas.openxmlformats.org/officeDocument/2006/relationships/hyperlink" Target="https://proceedings.mlr.press/v162/lyu22a.html" TargetMode="External"/><Relationship Id="rId26" Type="http://schemas.openxmlformats.org/officeDocument/2006/relationships/hyperlink" Target="https://proceedings.mlr.press/v108/khemakhem20a.html" TargetMode="External"/><Relationship Id="rId27" Type="http://schemas.openxmlformats.org/officeDocument/2006/relationships/hyperlink" Target="https://arxiv.org/abs/1811.00159" TargetMode="External"/><Relationship Id="rId28" Type="http://schemas.openxmlformats.org/officeDocument/2006/relationships/hyperlink" Target="https://proceedings.mlr.press/v313/villemaud26a.html" TargetMode="External"/><Relationship Id="rId29" Type="http://schemas.openxmlformats.org/officeDocument/2006/relationships/hyperlink" Target="https://proceedings.mlr.press/v202/du23b.html" TargetMode="External"/><Relationship Id="rId30" Type="http://schemas.openxmlformats.org/officeDocument/2006/relationships/hyperlink" Target="https://proceedings.iclr.cc/paper_files/paper/2025/hash/59b9582cd35f555ea8415030073e7b22-Abstract-Conference.html" TargetMode="External"/><Relationship Id="rId31" Type="http://schemas.openxmlformats.org/officeDocument/2006/relationships/hyperlink" Target="https://proceedings.mlr.press/v267/kang25a.html" TargetMode="External"/><Relationship Id="rId32" Type="http://schemas.openxmlformats.org/officeDocument/2006/relationships/hyperlink" Target="https://pmc.ncbi.nlm.nih.gov/articles/PMC10786278/" TargetMode="External"/><Relationship Id="rId33" Type="http://schemas.openxmlformats.org/officeDocument/2006/relationships/hyperlink" Target="https://proceedings.mlr.press/v336/arvanitakis26a.html" TargetMode="External"/><Relationship Id="rId34" Type="http://schemas.openxmlformats.org/officeDocument/2006/relationships/hyperlink" Target="https://proceedings.mlr.press/v336/feldman26a.html" TargetMode="External"/><Relationship Id="rId35" Type="http://schemas.openxmlformats.org/officeDocument/2006/relationships/hyperlink" Target="https://proceedings.mlr.press/v336/lau26a.html" TargetMode="External"/><Relationship Id="rId36" Type="http://schemas.openxmlformats.org/officeDocument/2006/relationships/hyperlink" Target="https://arxiv.org/abs/2307.00835" TargetMode="External"/><Relationship Id="rId37" Type="http://schemas.openxmlformats.org/officeDocument/2006/relationships/footnotes" Target="footnotes.xml"/></Relationships>
</file>

<file path=word/_rels/footnotes.xml.rels><?xml version='1.0' encoding='UTF-8' standalone='yes'?>
<Relationships xmlns="http://schemas.openxmlformats.org/package/2006/relationships"><Relationship Id="rId1_0" Type="http://schemas.openxmlformats.org/officeDocument/2006/relationships/hyperlink" Target="https://arxiv.org/html/2608.19849v1" TargetMode="External"/><Relationship Id="rId2_0" Type="http://schemas.openxmlformats.org/officeDocument/2006/relationships/hyperlink" Target="https://arxiv.org/html/2504.18522v3" TargetMode="External"/><Relationship Id="rId3_0" Type="http://schemas.openxmlformats.org/officeDocument/2006/relationships/hyperlink" Target="https://proceedings.mlr.press/v195/simchowitz23a.html" TargetMode="External"/><Relationship Id="rId3_1" Type="http://schemas.openxmlformats.org/officeDocument/2006/relationships/hyperlink" Target="https://arxiv.org/html/2410.06303v2" TargetMode="External"/><Relationship Id="rId4_0" Type="http://schemas.openxmlformats.org/officeDocument/2006/relationships/hyperlink" Target="https://arxiv.org/abs/2607.27723" TargetMode="External"/><Relationship Id="rId4_1" Type="http://schemas.openxmlformats.org/officeDocument/2006/relationships/hyperlink" Target="https://arxiv.org/abs/2606.01002" TargetMode="External"/><Relationship Id="rId5_0" Type="http://schemas.openxmlformats.org/officeDocument/2006/relationships/hyperlink" Target="https://jmlr.org/papers/v27/24-0838.html" TargetMode="External"/><Relationship Id="rId6_0" Type="http://schemas.openxmlformats.org/officeDocument/2006/relationships/hyperlink" Target="https://proceedings.mlr.press/v162/lyu22a.html" TargetMode="External"/><Relationship Id="rId6_1" Type="http://schemas.openxmlformats.org/officeDocument/2006/relationships/hyperlink" Target="https://proceedings.mlr.press/v108/khemakhem20a.html" TargetMode="External"/><Relationship Id="rId7_0" Type="http://schemas.openxmlformats.org/officeDocument/2006/relationships/hyperlink" Target="https://proceedings.mlr.press/v202/du23b.html" TargetMode="External"/><Relationship Id="rId8_0" Type="http://schemas.openxmlformats.org/officeDocument/2006/relationships/hyperlink" Target="https://proceedings.iclr.cc/paper_files/paper/2025/hash/59b9582cd35f555ea8415030073e7b22-Abstract-Conference.html" TargetMode="External"/><Relationship Id="rId8_1" Type="http://schemas.openxmlformats.org/officeDocument/2006/relationships/hyperlink" Target="https://proceedings.mlr.press/v267/kang25a.html" TargetMode="External"/><Relationship Id="rId9_0" Type="http://schemas.openxmlformats.org/officeDocument/2006/relationships/hyperlink" Target="https://pmc.ncbi.nlm.nih.gov/articles/PMC10786278/" TargetMode="External"/><Relationship Id="rId10_0" Type="http://schemas.openxmlformats.org/officeDocument/2006/relationships/hyperlink" Target="https://arxiv.org/abs/1811.00159" TargetMode="External"/><Relationship Id="rId10_1" Type="http://schemas.openxmlformats.org/officeDocument/2006/relationships/hyperlink" Target="https://proceedings.mlr.press/v313/villemaud26a.html" TargetMode="External"/><Relationship Id="rId11_0" Type="http://schemas.openxmlformats.org/officeDocument/2006/relationships/hyperlink" Target="https://proceedings.mlr.press/v336/arvanitakis26a.html" TargetMode="External"/><Relationship Id="rId12_0" Type="http://schemas.openxmlformats.org/officeDocument/2006/relationships/hyperlink" Target="https://proceedings.mlr.press/v336/feldman26a.html" TargetMode="External"/><Relationship Id="rId13_0" Type="http://schemas.openxmlformats.org/officeDocument/2006/relationships/hyperlink" Target="https://proceedings.mlr.press/v336/lau26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Mathematical research gaps for interaction learning</dc:title>
  <dc:subject>Documented open problems and candidate finite sample interaction learning contribution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